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137" w:rsidRPr="007B7088" w:rsidRDefault="003430B5" w:rsidP="00DF5137">
      <w:pPr>
        <w:spacing w:before="60" w:after="60" w:line="240" w:lineRule="auto"/>
        <w:jc w:val="both"/>
        <w:rPr>
          <w:rFonts w:cstheme="minorHAnsi"/>
          <w:b/>
          <w:sz w:val="24"/>
          <w:szCs w:val="24"/>
        </w:rPr>
      </w:pPr>
      <w:r>
        <w:rPr>
          <w:rFonts w:cstheme="minorHAnsi"/>
          <w:b/>
          <w:sz w:val="24"/>
          <w:szCs w:val="24"/>
        </w:rPr>
        <w:t>Εισαγωγή</w:t>
      </w:r>
    </w:p>
    <w:p w:rsidR="00DF5137" w:rsidRPr="00DF5137" w:rsidRDefault="00DF5137" w:rsidP="00DF5137">
      <w:pPr>
        <w:spacing w:before="60" w:after="60" w:line="240" w:lineRule="auto"/>
        <w:jc w:val="both"/>
        <w:rPr>
          <w:rFonts w:cstheme="minorHAnsi"/>
        </w:rPr>
      </w:pPr>
      <w:r w:rsidRPr="00DF5137">
        <w:rPr>
          <w:rFonts w:cstheme="minorHAnsi"/>
        </w:rPr>
        <w:t>Το παρόν έγγραφο αποτελεί συνοπτικό οδηγό σύνταξης της έκθεσης που πρέπει να υποβληθεί προκειμένου να πληρούνται οι διατάξεις της Απόφασης της 20ης Δεκεμβρίου 2011 για την εφαρμογή του άρθρου 106 παράγραφος 2 τη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 (2012/21/ΕΕ).</w:t>
      </w:r>
    </w:p>
    <w:p w:rsidR="007B7088" w:rsidRPr="00FC44F6" w:rsidRDefault="007B7088" w:rsidP="00DF5137">
      <w:pPr>
        <w:spacing w:before="60" w:after="60" w:line="240" w:lineRule="auto"/>
        <w:jc w:val="both"/>
        <w:rPr>
          <w:rFonts w:cstheme="minorHAnsi"/>
        </w:rPr>
      </w:pPr>
    </w:p>
    <w:p w:rsidR="00DF5137" w:rsidRPr="007B7088" w:rsidRDefault="00DF5137" w:rsidP="00DF5137">
      <w:pPr>
        <w:spacing w:before="60" w:after="60" w:line="240" w:lineRule="auto"/>
        <w:jc w:val="both"/>
        <w:rPr>
          <w:rFonts w:cstheme="minorHAnsi"/>
          <w:b/>
          <w:sz w:val="24"/>
          <w:szCs w:val="24"/>
        </w:rPr>
      </w:pPr>
      <w:r w:rsidRPr="007B7088">
        <w:rPr>
          <w:rFonts w:cstheme="minorHAnsi"/>
          <w:b/>
          <w:sz w:val="24"/>
          <w:szCs w:val="24"/>
        </w:rPr>
        <w:t>Γενικές οδηγίες:</w:t>
      </w:r>
    </w:p>
    <w:p w:rsidR="00DF5137" w:rsidRPr="00DF5137" w:rsidRDefault="00DF5137" w:rsidP="007B7088">
      <w:pPr>
        <w:pStyle w:val="a3"/>
        <w:numPr>
          <w:ilvl w:val="0"/>
          <w:numId w:val="3"/>
        </w:numPr>
        <w:spacing w:before="60" w:after="60" w:line="240" w:lineRule="auto"/>
        <w:ind w:left="397" w:hanging="397"/>
        <w:jc w:val="both"/>
        <w:rPr>
          <w:rFonts w:cstheme="minorHAnsi"/>
        </w:rPr>
      </w:pPr>
      <w:r w:rsidRPr="00DF5137">
        <w:rPr>
          <w:rFonts w:cstheme="minorHAnsi"/>
        </w:rPr>
        <w:t>Το πιο σημαντικό τμήμα της έκθεσης είναι αυτό που αναφέρεται στον χαρακτηρισμό της υπηρεσίας ως ΥΓΟΣ και στις πληροφορίες που πρέπει να περιλαμβάνει η/οι πράξη/εις ανάθεσης. Για το λόγο αυτό, η έκθεση πρέπει να εστιάσει στα συγκεκριμένα θέματα και οι πληροφορίες πρέπει να είναι όσο πιο αναλυτικές γίνεται (π.χ. υπηρεσία με αναλυτική περιγραφή &amp; ποσοτικοποιήσεις, χάρτης για τη γεωγραφική περιοχή, κλπ.).</w:t>
      </w:r>
    </w:p>
    <w:p w:rsidR="008972B7" w:rsidRDefault="00DF5137" w:rsidP="007B7088">
      <w:pPr>
        <w:pStyle w:val="a3"/>
        <w:numPr>
          <w:ilvl w:val="0"/>
          <w:numId w:val="3"/>
        </w:numPr>
        <w:spacing w:before="60" w:after="60" w:line="240" w:lineRule="auto"/>
        <w:ind w:left="397" w:hanging="397"/>
        <w:jc w:val="both"/>
        <w:rPr>
          <w:rFonts w:cstheme="minorHAnsi"/>
        </w:rPr>
      </w:pPr>
      <w:r w:rsidRPr="008972B7">
        <w:rPr>
          <w:rFonts w:cstheme="minorHAnsi"/>
        </w:rPr>
        <w:t xml:space="preserve">Η έκθεση ΥΓΟΣ πρέπει να εστιάσει στο τμήμα του έργου που αποτελεί την ΥΓΟΣ, το οποίο πρέπει να παρουσιάζεται ως μια υπηρεσία και ΟΧΙ ως Φυσικό Αντικείμενο . </w:t>
      </w:r>
    </w:p>
    <w:p w:rsidR="00DF5137" w:rsidRPr="008972B7" w:rsidRDefault="00DF5137" w:rsidP="007B7088">
      <w:pPr>
        <w:pStyle w:val="a3"/>
        <w:numPr>
          <w:ilvl w:val="0"/>
          <w:numId w:val="3"/>
        </w:numPr>
        <w:spacing w:before="60" w:after="60" w:line="240" w:lineRule="auto"/>
        <w:ind w:left="397" w:hanging="397"/>
        <w:jc w:val="both"/>
        <w:rPr>
          <w:rFonts w:cstheme="minorHAnsi"/>
        </w:rPr>
      </w:pPr>
      <w:bookmarkStart w:id="0" w:name="_GoBack"/>
      <w:bookmarkEnd w:id="0"/>
      <w:r w:rsidRPr="008972B7">
        <w:rPr>
          <w:rFonts w:cstheme="minorHAnsi"/>
        </w:rPr>
        <w:t>Οι παράμετροι για τον υπολογισμό της αντιστάθμισης πρέπει να αναφερθούν ονομαστικά και περιληπτικά, ως κατηγορίες εσόδων και δαπανών. Η ποσοτικοποίηση τους -η οποία αποτελεί και τον τρόπο καθορισμού της αντιστάθμισης- γίνεται στην χρηματοοικονομική ανάλυση που υποβάλλεται για τις ανάγκες ένταξης του έργου στο ΕΣΠΑ 2014-2020, στοιχεία της οποίας είναι σκόπιμο να περιληφθούν στην έκθεση ΥΓΟΣ.</w:t>
      </w:r>
    </w:p>
    <w:p w:rsidR="00F76233" w:rsidRDefault="00F76233" w:rsidP="00A64C82">
      <w:pPr>
        <w:pStyle w:val="a3"/>
        <w:spacing w:before="60" w:after="60" w:line="240" w:lineRule="auto"/>
        <w:ind w:left="397"/>
        <w:jc w:val="both"/>
        <w:rPr>
          <w:rFonts w:cstheme="minorHAnsi"/>
        </w:rPr>
      </w:pPr>
    </w:p>
    <w:p w:rsidR="003430B5" w:rsidRPr="007B7088" w:rsidRDefault="003430B5" w:rsidP="003430B5">
      <w:pPr>
        <w:spacing w:before="60" w:after="60" w:line="240" w:lineRule="auto"/>
        <w:jc w:val="both"/>
        <w:rPr>
          <w:rFonts w:cstheme="minorHAnsi"/>
          <w:b/>
          <w:sz w:val="24"/>
          <w:szCs w:val="24"/>
        </w:rPr>
      </w:pPr>
      <w:r w:rsidRPr="007B7088">
        <w:rPr>
          <w:rFonts w:cstheme="minorHAnsi"/>
          <w:b/>
          <w:sz w:val="24"/>
          <w:szCs w:val="24"/>
        </w:rPr>
        <w:t>Περιεχόμενα Έκθεσης Τεκμηρίωσης ΥΓΟΣ</w:t>
      </w:r>
    </w:p>
    <w:p w:rsidR="003430B5" w:rsidRPr="007B7088" w:rsidRDefault="003430B5" w:rsidP="003430B5">
      <w:pPr>
        <w:spacing w:before="60" w:after="60" w:line="240" w:lineRule="auto"/>
        <w:jc w:val="both"/>
        <w:rPr>
          <w:rFonts w:cstheme="minorHAnsi"/>
          <w:lang w:val="en-US"/>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Εισαγωγή</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Στόχος της έκθεσης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Συνοπτικές πληροφορίες για την παρεχόμενη ΥΓΟΣ</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Χαρακτηρισμός παρεχόμενης υπηρεσίας ως ΥΓΟΣ:</w:t>
      </w:r>
    </w:p>
    <w:p w:rsidR="003430B5" w:rsidRDefault="003430B5" w:rsidP="003430B5">
      <w:pPr>
        <w:pStyle w:val="a3"/>
        <w:numPr>
          <w:ilvl w:val="0"/>
          <w:numId w:val="13"/>
        </w:numPr>
        <w:spacing w:before="60" w:after="60" w:line="240" w:lineRule="auto"/>
        <w:jc w:val="both"/>
        <w:rPr>
          <w:rFonts w:cstheme="minorHAnsi"/>
        </w:rPr>
      </w:pPr>
      <w:r w:rsidRPr="001036B6">
        <w:rPr>
          <w:rFonts w:cstheme="minorHAnsi"/>
        </w:rPr>
        <w:t>Από το άρθρο 106 παρ</w:t>
      </w:r>
      <w:r>
        <w:rPr>
          <w:rFonts w:cstheme="minorHAnsi"/>
        </w:rPr>
        <w:t>.</w:t>
      </w:r>
      <w:r w:rsidRPr="001036B6">
        <w:rPr>
          <w:rFonts w:cstheme="minorHAnsi"/>
        </w:rPr>
        <w:t xml:space="preserve"> 2 της Συνθήκης συνάγεται ότι επιχειρήσεις που είναι επιφορτισμένες με τη λειτουργία ΥΓΟΣ είναι επιχειρήσεις στις οποίες έχε</w:t>
      </w:r>
      <w:r>
        <w:rPr>
          <w:rFonts w:cstheme="minorHAnsi"/>
        </w:rPr>
        <w:t>ι ανατεθεί «ιδιαίτερη αποστολή»</w:t>
      </w:r>
      <w:r w:rsidRPr="001036B6">
        <w:rPr>
          <w:rFonts w:cstheme="minorHAnsi"/>
        </w:rPr>
        <w:t>. Σε γενικές γραμμές, η ανάθεση «ιδιαίτερης αποστολής δημόσιας υπηρεσίας» υποδηλώνει την παροχή υπηρεσιών τις οποίες δεν θα αναλάμβανε ένας φορέας που μεριμνά περί των ιδίων εμπορικών συμφερόντων ή τουλάχιστον δεν θα τις αναλάμβανε στην ίδια έκταση ή υπό τις αυτές προϋποθέσεις. Κατά την εφαρμογή του σχετικού με το γενικό συμφέρον κριτηρίου, τα κράτη μέλη ή η Ένωση δύνανται να συνδέουν την παροχή τέτοιων υπηρεσιών με συγκεκριμένες υποχρεώσεις.</w:t>
      </w:r>
    </w:p>
    <w:p w:rsidR="003430B5" w:rsidRPr="0099364F" w:rsidRDefault="003430B5" w:rsidP="003430B5">
      <w:pPr>
        <w:pStyle w:val="a3"/>
        <w:numPr>
          <w:ilvl w:val="0"/>
          <w:numId w:val="13"/>
        </w:numPr>
        <w:spacing w:before="60" w:after="60" w:line="240" w:lineRule="auto"/>
        <w:jc w:val="both"/>
        <w:rPr>
          <w:rFonts w:cstheme="minorHAnsi"/>
        </w:rPr>
      </w:pPr>
      <w:r w:rsidRPr="001036B6">
        <w:rPr>
          <w:rFonts w:cstheme="minorHAnsi"/>
        </w:rPr>
        <w:t>Η Επιτροπή εκτιμά ως εκ τούτου ότι δεν θα ήταν σκόπιμο να συνδέσει συγκεκριμένες υποχρεώσεις παροχής δημόσιων υπηρεσιών με μια δραστηριότητα που ήδη παρέχεται ή μπορεί να παρασχεθεί ικανοποιητικά και υπό όρους, π.χ. τιμής, αντικειμενικών χαρακτηριστικών ποιότητας, συνέχειας και πρόσβασης στην υπηρεσία, που συνάδουν με το δημόσιο συμφέρον όπως το καθορίζει το κράτος, από επιχειρήσεις που λειτουργούν υπό τ</w:t>
      </w:r>
      <w:r>
        <w:rPr>
          <w:rFonts w:cstheme="minorHAnsi"/>
        </w:rPr>
        <w:t xml:space="preserve">ις συνήθεις συνθήκες της αγοράς. </w:t>
      </w:r>
      <w:r w:rsidRPr="001036B6">
        <w:rPr>
          <w:rFonts w:cstheme="minorHAnsi"/>
        </w:rPr>
        <w:t>Όσον αφορά το θέμα του κατά πόσο η υπηρεσία μπορεί να παρασχεθεί από την αγορά, η εκτίμηση της Επιτροπής περιορίζεται στο να ελέγξει εάν το κράτος μέλο</w:t>
      </w:r>
      <w:r>
        <w:rPr>
          <w:rFonts w:cstheme="minorHAnsi"/>
        </w:rPr>
        <w:t xml:space="preserve">ς έχει </w:t>
      </w:r>
      <w:r>
        <w:rPr>
          <w:rFonts w:cstheme="minorHAnsi"/>
        </w:rPr>
        <w:lastRenderedPageBreak/>
        <w:t xml:space="preserve">διαπράξει πρόδηλο σφάλμα, </w:t>
      </w:r>
      <w:r w:rsidRPr="0099364F">
        <w:rPr>
          <w:rFonts w:cstheme="minorHAnsi"/>
        </w:rPr>
        <w:t xml:space="preserve">εκτός εάν διατάξεις της νομοθεσίας της Ένωσης προβλέπουν αυστηρότερο κανόνα. </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Εθνική νομοθεσία που τεκμηριώνει το δημόσιο χαρακτήρα της παρεχόμενης υπηρεσίας (π.χ. νομοθετικό / κανονιστικό πλαίσιο από το οποίο προκύπτει ότι η </w:t>
      </w:r>
      <w:r>
        <w:rPr>
          <w:rFonts w:cstheme="minorHAnsi"/>
        </w:rPr>
        <w:t xml:space="preserve">παρεχόμενη υπηρεσία </w:t>
      </w:r>
      <w:r w:rsidRPr="00DF5137">
        <w:rPr>
          <w:rFonts w:cstheme="minorHAnsi"/>
        </w:rPr>
        <w:t xml:space="preserve">έχει καθοριστεί ως υπηρεσία που πρέπει να παρέχει το δημόσιο στους πολίτες στη χώρα, για παράδειγμα νόμος </w:t>
      </w:r>
      <w:r>
        <w:rPr>
          <w:rFonts w:cstheme="minorHAnsi"/>
        </w:rPr>
        <w:t xml:space="preserve">για παροχή κατάρτισης </w:t>
      </w:r>
      <w:r w:rsidRPr="00DF5137">
        <w:rPr>
          <w:rFonts w:cstheme="minorHAnsi"/>
        </w:rPr>
        <w:t>κλπ.)</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Θεσμικό πλαίσιο υποχρεώσεων φορέα που έχει ορισθεί ως </w:t>
      </w:r>
      <w:proofErr w:type="spellStart"/>
      <w:r w:rsidRPr="00DF5137">
        <w:rPr>
          <w:rFonts w:cstheme="minorHAnsi"/>
        </w:rPr>
        <w:t>πάροχος</w:t>
      </w:r>
      <w:proofErr w:type="spellEnd"/>
      <w:r w:rsidRPr="00DF5137">
        <w:rPr>
          <w:rFonts w:cstheme="minorHAnsi"/>
        </w:rPr>
        <w:t xml:space="preserve">, όσον αφορά στη συγκεκριμένη υπηρεσία που ανατίθεται (π.χ. </w:t>
      </w:r>
      <w:r>
        <w:rPr>
          <w:rFonts w:cstheme="minorHAnsi"/>
        </w:rPr>
        <w:t xml:space="preserve">νόμος για αναπτυξιακές συμπράξεις </w:t>
      </w:r>
    </w:p>
    <w:p w:rsidR="003430B5" w:rsidRPr="0099364F"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Στο συγκεκριμένο κεφάλαιο πρέπει η παρουσίαση να ξεκινάει από το γενικό πλαίσιο για </w:t>
      </w:r>
      <w:r>
        <w:rPr>
          <w:rFonts w:cstheme="minorHAnsi"/>
        </w:rPr>
        <w:t xml:space="preserve">την παροχή των ελεγχομένων υπηρεσιών </w:t>
      </w:r>
      <w:r w:rsidRPr="009430CA">
        <w:rPr>
          <w:rFonts w:cstheme="minorHAnsi"/>
        </w:rPr>
        <w:t xml:space="preserve"> και να καταλήγει στο ειδικό για την υπηρεσία (έργο) και τον φορέα.</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proofErr w:type="spellStart"/>
      <w:r w:rsidRPr="007D4776">
        <w:rPr>
          <w:rFonts w:cstheme="minorHAnsi"/>
          <w:b/>
        </w:rPr>
        <w:t>Πάροχος</w:t>
      </w:r>
      <w:proofErr w:type="spellEnd"/>
      <w:r w:rsidRPr="007D4776">
        <w:rPr>
          <w:rFonts w:cstheme="minorHAnsi"/>
          <w:b/>
        </w:rPr>
        <w:t xml:space="preserve"> ΥΓΟΣ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Σύντομη παρουσίαση του φορέα στον οποίο ανατίθεται η ΥΓΟΣ (θεσμικό πλαίσιο, ιδρυτικό πλαίσιο / σύσταση φορέα, σύντομη παρουσίαση δραστηριοτήτων, άλλες τυχόν χρήσιμες πληροφορίες)</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Γεωγραφική περιοχή παρεχόμενης υπηρεσίας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Προσδιορισμός γεωγραφικής περιοχής που καλύπτει η υπηρεσία (π.χ. ποιοι δήμοι καλύπτονται;)</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Χάρτης της περιοχής με ένδειξη καλυπτόμενης περιοχής </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Ποσοτικά στοιχεία για την έκταση της περιοχής και τον καλυπτόμενο πληθυσμό (π.χ. πίνακας με καλυπτόμενο πληθυσμό ανά δήμο)</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Διάρκεια παρεχόμενης υπηρεσίας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Χρονική διάρκεια παρεχόμενης υπηρεσίας σε έτη.</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Αναλυτική περιγραφή παρεχόμενης υπηρεσίας</w:t>
      </w:r>
    </w:p>
    <w:p w:rsidR="003430B5" w:rsidRPr="00DF5137" w:rsidRDefault="003430B5" w:rsidP="003430B5">
      <w:pPr>
        <w:spacing w:before="60" w:after="60" w:line="240" w:lineRule="auto"/>
        <w:ind w:left="397"/>
        <w:jc w:val="both"/>
        <w:rPr>
          <w:rFonts w:cstheme="minorHAnsi"/>
        </w:rPr>
      </w:pPr>
      <w:r w:rsidRPr="00DF5137">
        <w:rPr>
          <w:rFonts w:cstheme="minorHAnsi"/>
        </w:rPr>
        <w:t>Το πιο σημαντικό κεφάλαιο της έκθεσης – πρέπει να είναι αναλυτικό, να δίνεται έμφαση στην υπηρεσία και να περιληφθούν όσο το δυνατόν περισσότερες από τις παρακάτω πληροφορίες (βάσει και της διαθεσιμότητας):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Συνοπτική παρουσίαση παρεχόμενης υπηρεσίας </w:t>
      </w:r>
    </w:p>
    <w:p w:rsidR="003430B5" w:rsidRDefault="003430B5" w:rsidP="003430B5">
      <w:pPr>
        <w:pStyle w:val="a3"/>
        <w:numPr>
          <w:ilvl w:val="0"/>
          <w:numId w:val="3"/>
        </w:numPr>
        <w:spacing w:before="60" w:after="60" w:line="240" w:lineRule="auto"/>
        <w:ind w:left="794" w:hanging="397"/>
        <w:jc w:val="both"/>
        <w:rPr>
          <w:rFonts w:cstheme="minorHAnsi"/>
        </w:rPr>
      </w:pPr>
      <w:r w:rsidRPr="00561588">
        <w:rPr>
          <w:rFonts w:cstheme="minorHAnsi"/>
        </w:rPr>
        <w:t xml:space="preserve">Ποσότητες και είδος παρεχομένων υπηρεσιών </w:t>
      </w:r>
    </w:p>
    <w:p w:rsidR="003430B5" w:rsidRDefault="003430B5" w:rsidP="003430B5">
      <w:pPr>
        <w:pStyle w:val="a3"/>
        <w:numPr>
          <w:ilvl w:val="0"/>
          <w:numId w:val="3"/>
        </w:numPr>
        <w:spacing w:before="60" w:after="60" w:line="240" w:lineRule="auto"/>
        <w:ind w:left="794" w:hanging="397"/>
        <w:jc w:val="both"/>
        <w:rPr>
          <w:rFonts w:cstheme="minorHAnsi"/>
        </w:rPr>
      </w:pPr>
      <w:r w:rsidRPr="00561588">
        <w:rPr>
          <w:rFonts w:cstheme="minorHAnsi"/>
        </w:rPr>
        <w:t xml:space="preserve">Χρονικός προσδιορισμός παρεχόμενης υπηρεσίας </w:t>
      </w:r>
    </w:p>
    <w:p w:rsidR="003430B5" w:rsidRPr="009430CA" w:rsidRDefault="003430B5" w:rsidP="003430B5">
      <w:pPr>
        <w:pStyle w:val="a3"/>
        <w:numPr>
          <w:ilvl w:val="0"/>
          <w:numId w:val="3"/>
        </w:numPr>
        <w:spacing w:before="60" w:after="60" w:line="240" w:lineRule="auto"/>
        <w:ind w:left="794" w:hanging="397"/>
        <w:jc w:val="both"/>
        <w:rPr>
          <w:rFonts w:cstheme="minorHAnsi"/>
        </w:rPr>
      </w:pPr>
      <w:r w:rsidRPr="00561588">
        <w:rPr>
          <w:rFonts w:cstheme="minorHAnsi"/>
        </w:rPr>
        <w:t xml:space="preserve">Αναλυτική περιγραφή όλων των επιμέρους σταδίων παροχής της υπηρεσίας </w:t>
      </w:r>
    </w:p>
    <w:p w:rsidR="003430B5"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Τελικά </w:t>
      </w:r>
      <w:r>
        <w:rPr>
          <w:rFonts w:cstheme="minorHAnsi"/>
        </w:rPr>
        <w:t>«</w:t>
      </w:r>
      <w:r w:rsidRPr="00DF5137">
        <w:rPr>
          <w:rFonts w:cstheme="minorHAnsi"/>
        </w:rPr>
        <w:t>προϊόντα</w:t>
      </w:r>
      <w:r>
        <w:rPr>
          <w:rFonts w:cstheme="minorHAnsi"/>
        </w:rPr>
        <w:t>»</w:t>
      </w:r>
      <w:r w:rsidRPr="00DF5137">
        <w:rPr>
          <w:rFonts w:cstheme="minorHAnsi"/>
        </w:rPr>
        <w:t xml:space="preserve"> παρεχόμενης υπηρεσίας, με στοιχεία προβλέψεων ποσοτήτων, εφόσον υφίστανται</w:t>
      </w:r>
      <w:r w:rsidRPr="00212216">
        <w:rPr>
          <w:rFonts w:cstheme="minorHAnsi"/>
        </w:rPr>
        <w:t xml:space="preserve"> </w:t>
      </w:r>
    </w:p>
    <w:p w:rsidR="003430B5" w:rsidRPr="00212216" w:rsidRDefault="003430B5" w:rsidP="003430B5">
      <w:pPr>
        <w:pStyle w:val="a3"/>
        <w:spacing w:before="60" w:after="60" w:line="240" w:lineRule="auto"/>
        <w:ind w:left="794"/>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Παράμετροι για τον προσδιορισμό της αντιστάθμισης της παρεχόμενης ΥΓΟΣ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Συνοπτικός πίνακας με τις κατηγορίες εσόδων και εξόδων που λαμβάνονται υπόψη για τον προσδιορισμό της αντιστάθμισης (τίτλοι)</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εσόδων – ανά κατηγορία (σε τι αφορά, πως έχει υπολογισθεί – κείμενο και πίνακες με υπολογισμούς)</w:t>
      </w:r>
    </w:p>
    <w:p w:rsidR="003430B5" w:rsidRPr="00AA2090"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εξόδων – ανά κατηγορία (σε τι αφορά, πως έχει υπολογισθεί – κείμενο και πίνακες με υπολογισμούς)</w:t>
      </w:r>
      <w:r w:rsidRPr="00AA2090">
        <w:rPr>
          <w:rFonts w:cstheme="minorHAnsi"/>
        </w:rPr>
        <w:t>.</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Συνολικός πίνακας εσόδων – εξόδων, ανά έτος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lastRenderedPageBreak/>
        <w:t>Προσδιορισμός αντιστάθμισης ως συνολικό ποσό (διαφορά συνολικών εξόδων – συνολικών εσόδων) και ως μέσο ετήσιο ποσό.</w:t>
      </w:r>
    </w:p>
    <w:p w:rsidR="003430B5" w:rsidRPr="00DF5137" w:rsidRDefault="003430B5" w:rsidP="003430B5">
      <w:pPr>
        <w:spacing w:before="60" w:after="60" w:line="240" w:lineRule="auto"/>
        <w:ind w:left="397"/>
        <w:jc w:val="both"/>
        <w:rPr>
          <w:rFonts w:cstheme="minorHAnsi"/>
        </w:rPr>
      </w:pPr>
      <w:r w:rsidRPr="00DF5137">
        <w:rPr>
          <w:rFonts w:cstheme="minorHAnsi"/>
        </w:rPr>
        <w:t xml:space="preserve">Σημείωση: </w:t>
      </w:r>
      <w:r>
        <w:rPr>
          <w:rFonts w:cstheme="minorHAnsi"/>
        </w:rPr>
        <w:t>Τ</w:t>
      </w:r>
      <w:r w:rsidRPr="00DF5137">
        <w:rPr>
          <w:rFonts w:cstheme="minorHAnsi"/>
        </w:rPr>
        <w:t xml:space="preserve">α έξοδα για την παροχή της ΥΓΟΣ πρέπει να περιλαμβάνουν μόνο τις δαπάνες για την παροχή της υπηρεσίας (μόνο το προσωπικό που εργάζεται για την παροχή της ΥΓΟΣ, ηλεκτρική ενέργεια μόνο για την παροχή της ΥΓΟΣ και όχι για </w:t>
      </w:r>
      <w:r>
        <w:rPr>
          <w:rFonts w:cstheme="minorHAnsi"/>
        </w:rPr>
        <w:t xml:space="preserve">άλλες υπηρεσίες </w:t>
      </w:r>
      <w:r w:rsidRPr="00DF5137">
        <w:rPr>
          <w:rFonts w:cstheme="minorHAnsi"/>
        </w:rPr>
        <w:t xml:space="preserve">κλπ.). </w:t>
      </w:r>
      <w:r w:rsidRPr="0099364F">
        <w:rPr>
          <w:rFonts w:cstheme="minorHAnsi"/>
          <w:b/>
        </w:rPr>
        <w:t>Χρειάζεται προσοχή στον προσδιορισμό εσόδων και εξόδων (κατηγορίες και ποσοτικοποίηση), καθώς πρέπει τα στοιχεία να είναι συγκρίσιμα σε επίπεδο χώρας, δεδομένου ότι σε περίπτωση ελέγχου θα πρέπει οι τυχόν διαφορές να μπορούν να τεκμηριωθούν</w:t>
      </w:r>
      <w:r w:rsidRPr="00DF5137">
        <w:rPr>
          <w:rFonts w:cstheme="minorHAnsi"/>
        </w:rPr>
        <w:t>.</w:t>
      </w:r>
    </w:p>
    <w:p w:rsidR="003430B5" w:rsidRPr="00DF5137" w:rsidRDefault="003430B5" w:rsidP="00A64C82">
      <w:pPr>
        <w:pStyle w:val="a3"/>
        <w:spacing w:before="60" w:after="60" w:line="240" w:lineRule="auto"/>
        <w:ind w:left="397"/>
        <w:jc w:val="both"/>
        <w:rPr>
          <w:rFonts w:cstheme="minorHAnsi"/>
        </w:rPr>
      </w:pPr>
    </w:p>
    <w:sectPr w:rsidR="003430B5" w:rsidRPr="00DF5137">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2E2" w:rsidRDefault="004B12E2" w:rsidP="00BE483E">
      <w:pPr>
        <w:spacing w:after="0" w:line="240" w:lineRule="auto"/>
      </w:pPr>
      <w:r>
        <w:separator/>
      </w:r>
    </w:p>
  </w:endnote>
  <w:endnote w:type="continuationSeparator" w:id="0">
    <w:p w:rsidR="004B12E2" w:rsidRDefault="004B12E2" w:rsidP="00BE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088" w:rsidRPr="007B7088" w:rsidRDefault="007B7088" w:rsidP="007B7088">
    <w:pPr>
      <w:pStyle w:val="a5"/>
      <w:pBdr>
        <w:top w:val="thinThickSmallGap" w:sz="24" w:space="1" w:color="622423" w:themeColor="accent2" w:themeShade="7F"/>
      </w:pBdr>
      <w:rPr>
        <w:rFonts w:eastAsiaTheme="majorEastAsia" w:cstheme="minorHAnsi"/>
        <w:i/>
        <w:sz w:val="20"/>
        <w:szCs w:val="20"/>
      </w:rPr>
    </w:pPr>
    <w:r w:rsidRPr="007B7088">
      <w:rPr>
        <w:rFonts w:eastAsiaTheme="majorEastAsia" w:cstheme="minorHAnsi"/>
        <w:i/>
        <w:sz w:val="20"/>
        <w:szCs w:val="20"/>
      </w:rPr>
      <w:t xml:space="preserve"> </w:t>
    </w:r>
    <w:r w:rsidRPr="007B7088">
      <w:rPr>
        <w:rFonts w:cstheme="minorHAnsi"/>
        <w:i/>
        <w:sz w:val="20"/>
        <w:szCs w:val="20"/>
      </w:rPr>
      <w:t xml:space="preserve"> </w:t>
    </w:r>
    <w:r w:rsidRPr="007B7088">
      <w:rPr>
        <w:rFonts w:cstheme="minorHAnsi"/>
        <w:i/>
        <w:iCs/>
        <w:sz w:val="20"/>
        <w:szCs w:val="20"/>
      </w:rPr>
      <w:t>Ειδική Υπηρεσία Κρατικών Ενισχύσεων</w:t>
    </w:r>
    <w:r w:rsidRPr="007B7088">
      <w:rPr>
        <w:rFonts w:eastAsiaTheme="majorEastAsia" w:cstheme="minorHAnsi"/>
        <w:i/>
        <w:sz w:val="20"/>
        <w:szCs w:val="20"/>
      </w:rPr>
      <w:ptab w:relativeTo="margin" w:alignment="right" w:leader="none"/>
    </w:r>
    <w:r w:rsidRPr="007B7088">
      <w:rPr>
        <w:rFonts w:eastAsiaTheme="majorEastAsia" w:cstheme="minorHAnsi"/>
        <w:i/>
        <w:sz w:val="20"/>
        <w:szCs w:val="20"/>
      </w:rPr>
      <w:t xml:space="preserve">Σελίδα </w:t>
    </w:r>
    <w:r w:rsidRPr="007B7088">
      <w:rPr>
        <w:rFonts w:eastAsiaTheme="minorEastAsia" w:cstheme="minorHAnsi"/>
        <w:i/>
        <w:sz w:val="20"/>
        <w:szCs w:val="20"/>
      </w:rPr>
      <w:fldChar w:fldCharType="begin"/>
    </w:r>
    <w:r w:rsidRPr="007B7088">
      <w:rPr>
        <w:rFonts w:cstheme="minorHAnsi"/>
        <w:i/>
        <w:sz w:val="20"/>
        <w:szCs w:val="20"/>
      </w:rPr>
      <w:instrText>PAGE   \* MERGEFORMAT</w:instrText>
    </w:r>
    <w:r w:rsidRPr="007B7088">
      <w:rPr>
        <w:rFonts w:eastAsiaTheme="minorEastAsia" w:cstheme="minorHAnsi"/>
        <w:i/>
        <w:sz w:val="20"/>
        <w:szCs w:val="20"/>
      </w:rPr>
      <w:fldChar w:fldCharType="separate"/>
    </w:r>
    <w:r w:rsidR="002779E0" w:rsidRPr="002779E0">
      <w:rPr>
        <w:rFonts w:eastAsiaTheme="majorEastAsia" w:cstheme="minorHAnsi"/>
        <w:i/>
        <w:noProof/>
        <w:sz w:val="20"/>
        <w:szCs w:val="20"/>
      </w:rPr>
      <w:t>1</w:t>
    </w:r>
    <w:r w:rsidRPr="007B7088">
      <w:rPr>
        <w:rFonts w:eastAsiaTheme="majorEastAsia" w:cstheme="minorHAnsi"/>
        <w:i/>
        <w:sz w:val="20"/>
        <w:szCs w:val="20"/>
      </w:rPr>
      <w:fldChar w:fldCharType="end"/>
    </w:r>
  </w:p>
  <w:p w:rsidR="00BE483E" w:rsidRDefault="00BE483E" w:rsidP="007B70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2E2" w:rsidRDefault="004B12E2" w:rsidP="00BE483E">
      <w:pPr>
        <w:spacing w:after="0" w:line="240" w:lineRule="auto"/>
      </w:pPr>
      <w:r>
        <w:separator/>
      </w:r>
    </w:p>
  </w:footnote>
  <w:footnote w:type="continuationSeparator" w:id="0">
    <w:p w:rsidR="004B12E2" w:rsidRDefault="004B12E2" w:rsidP="00BE48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83E" w:rsidRDefault="00BE483E" w:rsidP="00BE483E">
    <w:pPr>
      <w:pStyle w:val="Default"/>
    </w:pPr>
  </w:p>
  <w:p w:rsidR="00BE483E" w:rsidRPr="00BE483E" w:rsidRDefault="00BE483E" w:rsidP="00BE483E">
    <w:pPr>
      <w:pStyle w:val="a4"/>
      <w:jc w:val="center"/>
    </w:pPr>
    <w:r w:rsidRPr="00BE483E">
      <w:rPr>
        <w:b/>
        <w:bCs/>
      </w:rPr>
      <w:t>Περιεχόμενα Έκθεσης Τεκμηρίωσης ΥΓΟΣ - Οδηγίες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C2101"/>
    <w:multiLevelType w:val="hybridMultilevel"/>
    <w:tmpl w:val="FB3CC272"/>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7BC10AA"/>
    <w:multiLevelType w:val="hybridMultilevel"/>
    <w:tmpl w:val="F140C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DCD13A0"/>
    <w:multiLevelType w:val="hybridMultilevel"/>
    <w:tmpl w:val="4F64229E"/>
    <w:lvl w:ilvl="0" w:tplc="BD4ED16A">
      <w:numFmt w:val="bullet"/>
      <w:lvlText w:val="-"/>
      <w:lvlJc w:val="left"/>
      <w:pPr>
        <w:ind w:left="757" w:hanging="360"/>
      </w:pPr>
      <w:rPr>
        <w:rFonts w:ascii="Calibri" w:eastAsiaTheme="minorHAnsi" w:hAnsi="Calibri" w:cstheme="minorHAnsi" w:hint="default"/>
      </w:rPr>
    </w:lvl>
    <w:lvl w:ilvl="1" w:tplc="04080003" w:tentative="1">
      <w:start w:val="1"/>
      <w:numFmt w:val="bullet"/>
      <w:lvlText w:val="o"/>
      <w:lvlJc w:val="left"/>
      <w:pPr>
        <w:ind w:left="1477" w:hanging="360"/>
      </w:pPr>
      <w:rPr>
        <w:rFonts w:ascii="Courier New" w:hAnsi="Courier New" w:cs="Courier New" w:hint="default"/>
      </w:rPr>
    </w:lvl>
    <w:lvl w:ilvl="2" w:tplc="04080005" w:tentative="1">
      <w:start w:val="1"/>
      <w:numFmt w:val="bullet"/>
      <w:lvlText w:val=""/>
      <w:lvlJc w:val="left"/>
      <w:pPr>
        <w:ind w:left="2197" w:hanging="360"/>
      </w:pPr>
      <w:rPr>
        <w:rFonts w:ascii="Wingdings" w:hAnsi="Wingdings" w:hint="default"/>
      </w:rPr>
    </w:lvl>
    <w:lvl w:ilvl="3" w:tplc="04080001" w:tentative="1">
      <w:start w:val="1"/>
      <w:numFmt w:val="bullet"/>
      <w:lvlText w:val=""/>
      <w:lvlJc w:val="left"/>
      <w:pPr>
        <w:ind w:left="2917" w:hanging="360"/>
      </w:pPr>
      <w:rPr>
        <w:rFonts w:ascii="Symbol" w:hAnsi="Symbol" w:hint="default"/>
      </w:rPr>
    </w:lvl>
    <w:lvl w:ilvl="4" w:tplc="04080003" w:tentative="1">
      <w:start w:val="1"/>
      <w:numFmt w:val="bullet"/>
      <w:lvlText w:val="o"/>
      <w:lvlJc w:val="left"/>
      <w:pPr>
        <w:ind w:left="3637" w:hanging="360"/>
      </w:pPr>
      <w:rPr>
        <w:rFonts w:ascii="Courier New" w:hAnsi="Courier New" w:cs="Courier New" w:hint="default"/>
      </w:rPr>
    </w:lvl>
    <w:lvl w:ilvl="5" w:tplc="04080005" w:tentative="1">
      <w:start w:val="1"/>
      <w:numFmt w:val="bullet"/>
      <w:lvlText w:val=""/>
      <w:lvlJc w:val="left"/>
      <w:pPr>
        <w:ind w:left="4357" w:hanging="360"/>
      </w:pPr>
      <w:rPr>
        <w:rFonts w:ascii="Wingdings" w:hAnsi="Wingdings" w:hint="default"/>
      </w:rPr>
    </w:lvl>
    <w:lvl w:ilvl="6" w:tplc="04080001" w:tentative="1">
      <w:start w:val="1"/>
      <w:numFmt w:val="bullet"/>
      <w:lvlText w:val=""/>
      <w:lvlJc w:val="left"/>
      <w:pPr>
        <w:ind w:left="5077" w:hanging="360"/>
      </w:pPr>
      <w:rPr>
        <w:rFonts w:ascii="Symbol" w:hAnsi="Symbol" w:hint="default"/>
      </w:rPr>
    </w:lvl>
    <w:lvl w:ilvl="7" w:tplc="04080003" w:tentative="1">
      <w:start w:val="1"/>
      <w:numFmt w:val="bullet"/>
      <w:lvlText w:val="o"/>
      <w:lvlJc w:val="left"/>
      <w:pPr>
        <w:ind w:left="5797" w:hanging="360"/>
      </w:pPr>
      <w:rPr>
        <w:rFonts w:ascii="Courier New" w:hAnsi="Courier New" w:cs="Courier New" w:hint="default"/>
      </w:rPr>
    </w:lvl>
    <w:lvl w:ilvl="8" w:tplc="04080005" w:tentative="1">
      <w:start w:val="1"/>
      <w:numFmt w:val="bullet"/>
      <w:lvlText w:val=""/>
      <w:lvlJc w:val="left"/>
      <w:pPr>
        <w:ind w:left="6517" w:hanging="360"/>
      </w:pPr>
      <w:rPr>
        <w:rFonts w:ascii="Wingdings" w:hAnsi="Wingdings" w:hint="default"/>
      </w:rPr>
    </w:lvl>
  </w:abstractNum>
  <w:abstractNum w:abstractNumId="3">
    <w:nsid w:val="455172FD"/>
    <w:multiLevelType w:val="hybridMultilevel"/>
    <w:tmpl w:val="6C00A37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5865B67"/>
    <w:multiLevelType w:val="hybridMultilevel"/>
    <w:tmpl w:val="24005958"/>
    <w:lvl w:ilvl="0" w:tplc="69F6996A">
      <w:start w:val="3"/>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112740E"/>
    <w:multiLevelType w:val="hybridMultilevel"/>
    <w:tmpl w:val="004259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2AE0563"/>
    <w:multiLevelType w:val="hybridMultilevel"/>
    <w:tmpl w:val="B3B0E34E"/>
    <w:lvl w:ilvl="0" w:tplc="7C4AB2A0">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97E43B2"/>
    <w:multiLevelType w:val="hybridMultilevel"/>
    <w:tmpl w:val="AAAC357E"/>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E003338"/>
    <w:multiLevelType w:val="hybridMultilevel"/>
    <w:tmpl w:val="3ADA305A"/>
    <w:lvl w:ilvl="0" w:tplc="7C4AB2A0">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70210458"/>
    <w:multiLevelType w:val="hybridMultilevel"/>
    <w:tmpl w:val="9210E6AC"/>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1BF0FD9"/>
    <w:multiLevelType w:val="hybridMultilevel"/>
    <w:tmpl w:val="7C7AD28E"/>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43E4EEA"/>
    <w:multiLevelType w:val="hybridMultilevel"/>
    <w:tmpl w:val="6F547530"/>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CA110DF"/>
    <w:multiLevelType w:val="hybridMultilevel"/>
    <w:tmpl w:val="1C30A1A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8"/>
  </w:num>
  <w:num w:numId="4">
    <w:abstractNumId w:val="5"/>
  </w:num>
  <w:num w:numId="5">
    <w:abstractNumId w:val="10"/>
  </w:num>
  <w:num w:numId="6">
    <w:abstractNumId w:val="11"/>
  </w:num>
  <w:num w:numId="7">
    <w:abstractNumId w:val="7"/>
  </w:num>
  <w:num w:numId="8">
    <w:abstractNumId w:val="4"/>
  </w:num>
  <w:num w:numId="9">
    <w:abstractNumId w:val="3"/>
  </w:num>
  <w:num w:numId="10">
    <w:abstractNumId w:val="9"/>
  </w:num>
  <w:num w:numId="11">
    <w:abstractNumId w:val="0"/>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37"/>
    <w:rsid w:val="000E4BDC"/>
    <w:rsid w:val="001036B6"/>
    <w:rsid w:val="00207874"/>
    <w:rsid w:val="00212216"/>
    <w:rsid w:val="002779E0"/>
    <w:rsid w:val="003430B5"/>
    <w:rsid w:val="004B12E2"/>
    <w:rsid w:val="00535CE4"/>
    <w:rsid w:val="00561588"/>
    <w:rsid w:val="006510DD"/>
    <w:rsid w:val="006B3429"/>
    <w:rsid w:val="007B7088"/>
    <w:rsid w:val="007D4776"/>
    <w:rsid w:val="008972B7"/>
    <w:rsid w:val="009430CA"/>
    <w:rsid w:val="0099364F"/>
    <w:rsid w:val="009A0B55"/>
    <w:rsid w:val="009C13F3"/>
    <w:rsid w:val="00A64C82"/>
    <w:rsid w:val="00AA2090"/>
    <w:rsid w:val="00BE483E"/>
    <w:rsid w:val="00DF5137"/>
    <w:rsid w:val="00F76233"/>
    <w:rsid w:val="00FC44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907</Words>
  <Characters>4901</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ΧΑΤΖΗΙΩΑΝΝΟΥ ΤΡΥΦΩΝΑΣ</dc:creator>
  <cp:lastModifiedBy>ΑΙΚΑΤΕΡΙΝΙΑΔΟΥ ΣΤΕΛΛΑ</cp:lastModifiedBy>
  <cp:revision>4</cp:revision>
  <dcterms:created xsi:type="dcterms:W3CDTF">2017-07-18T07:21:00Z</dcterms:created>
  <dcterms:modified xsi:type="dcterms:W3CDTF">2017-07-18T07:31:00Z</dcterms:modified>
</cp:coreProperties>
</file>