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F30F37" w:rsidRPr="00F30F37">
        <w:rPr>
          <w:rFonts w:ascii="Tahoma" w:hAnsi="Tahoma" w:cs="Tahoma"/>
          <w:sz w:val="20"/>
          <w:szCs w:val="20"/>
        </w:rPr>
        <w:t>6γ.5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F30F37" w:rsidRPr="00F30F37">
        <w:rPr>
          <w:rFonts w:ascii="Tahoma" w:hAnsi="Tahoma" w:cs="Tahoma"/>
          <w:sz w:val="20"/>
          <w:szCs w:val="20"/>
        </w:rPr>
        <w:t>Αναβάθμιση και προβολή πολιτιστικού και τουριστικού προϊόντος στις περιοχές παρέμβασης των Στρατηγικών Βιώσιμης Αστικής Ανάπτυξης (ΣΒΑΑ) άλλων πόλεων της Περιφέρειας Κεντρικής Μακεδονίας, πλην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πρόσκληση απευθύνεται σε συγκεκριμένο</w:t>
      </w:r>
      <w:bookmarkStart w:id="0" w:name="_GoBack"/>
      <w:bookmarkEnd w:id="0"/>
      <w:r>
        <w:rPr>
          <w:rFonts w:ascii="Tahoma" w:hAnsi="Tahoma" w:cs="Tahoma"/>
          <w:bCs/>
          <w:sz w:val="20"/>
          <w:szCs w:val="20"/>
        </w:rPr>
        <w:t xml:space="preserve"> και περιορισμένο αριθμό δικαιούχων και ο προϋπολογισμός της επαρκεί για το σύνολο των προτεινόμενων δράσεων.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357441"/>
    <w:rsid w:val="003F5C63"/>
    <w:rsid w:val="00402151"/>
    <w:rsid w:val="0044622F"/>
    <w:rsid w:val="00617856"/>
    <w:rsid w:val="006827D9"/>
    <w:rsid w:val="00876C28"/>
    <w:rsid w:val="00963E22"/>
    <w:rsid w:val="00EB018E"/>
    <w:rsid w:val="00EB27EB"/>
    <w:rsid w:val="00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9</cp:revision>
  <dcterms:created xsi:type="dcterms:W3CDTF">2015-12-29T10:26:00Z</dcterms:created>
  <dcterms:modified xsi:type="dcterms:W3CDTF">2017-10-23T09:40:00Z</dcterms:modified>
</cp:coreProperties>
</file>