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AD0378" w:rsidRPr="00AD0378">
        <w:rPr>
          <w:rFonts w:ascii="Tahoma" w:hAnsi="Tahoma" w:cs="Tahoma"/>
          <w:sz w:val="20"/>
          <w:szCs w:val="20"/>
        </w:rPr>
        <w:t>6ε.4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AD0378" w:rsidRPr="00AD0378">
        <w:rPr>
          <w:rFonts w:ascii="Tahoma" w:hAnsi="Tahoma" w:cs="Tahoma"/>
          <w:sz w:val="20"/>
          <w:szCs w:val="20"/>
        </w:rPr>
        <w:t>Αστική αναζωογόνηση και βελτίωση της ποιότητας του αέρα στις περιοχές παρέμβασης των Στρατηγικών Βιώσιμης Αστικής Ανάπτυξης (ΣΒΑΑ) άλλων πόλεων της Περιφέρειας Κεντρικής Μακεδονίας, πλην της Μητροπολιτικής Ενότητας Θεσσαλονίκης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πρόσκληση απευθύνεται σε συγκεκριμένο και περιορισμένο αριθμό δικαιούχων και ο προϋπολογισμός της επαρκεί για το σύνολο των προτεινόμενων δράσεων.</w:t>
      </w:r>
      <w:bookmarkStart w:id="0" w:name="_GoBack"/>
      <w:bookmarkEnd w:id="0"/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357441"/>
    <w:rsid w:val="003F5C63"/>
    <w:rsid w:val="00402151"/>
    <w:rsid w:val="0044622F"/>
    <w:rsid w:val="00617856"/>
    <w:rsid w:val="006827D9"/>
    <w:rsid w:val="00876C28"/>
    <w:rsid w:val="00963E22"/>
    <w:rsid w:val="00AD0378"/>
    <w:rsid w:val="00EB018E"/>
    <w:rsid w:val="00EB27EB"/>
    <w:rsid w:val="00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251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ΧΑΤΖΗΙΩΑΝΝΟΥ ΤΡΥΦΩΝΑΣ</cp:lastModifiedBy>
  <cp:revision>10</cp:revision>
  <dcterms:created xsi:type="dcterms:W3CDTF">2015-12-29T10:26:00Z</dcterms:created>
  <dcterms:modified xsi:type="dcterms:W3CDTF">2017-10-23T09:46:00Z</dcterms:modified>
</cp:coreProperties>
</file>