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B57E0B" w:rsidRPr="00B57E0B">
        <w:rPr>
          <w:rFonts w:cs="Tahoma"/>
        </w:rPr>
        <w:t>9iv8</w:t>
      </w:r>
      <w:r w:rsidR="00775F6F" w:rsidRPr="00775F6F">
        <w:rPr>
          <w:rFonts w:cs="Tahoma"/>
        </w:rPr>
        <w:t xml:space="preserve"> </w:t>
      </w:r>
      <w:r w:rsidR="00876C28" w:rsidRPr="00500268">
        <w:rPr>
          <w:rFonts w:cs="Tahoma"/>
        </w:rPr>
        <w:t>«</w:t>
      </w:r>
      <w:r w:rsidR="00B57E0B" w:rsidRPr="00B57E0B">
        <w:t xml:space="preserve">Βελτίωση της πρόσβασης σε προσιτές, βιώσιμες και υψηλής ποιότητας υπηρεσίες Υγείας και Πρόνοιας στις περιοχές παρέμβασης των Στρατηγικών Βιώσιμης Αστικής Ανάπτυξης (ΣΒΑΑ) </w:t>
      </w:r>
      <w:bookmarkStart w:id="0" w:name="_GoBack"/>
      <w:bookmarkEnd w:id="0"/>
      <w:r w:rsidR="00B57E0B" w:rsidRPr="00B57E0B">
        <w:t>της Μητροπολιτικής Ενότητας Θεσσαλονίκης</w:t>
      </w:r>
      <w:r w:rsidR="00876C28" w:rsidRPr="00500268">
        <w:rPr>
          <w:rFonts w:cs="Tahoma"/>
        </w:rPr>
        <w:t>»</w:t>
      </w:r>
      <w:r w:rsidRPr="00500268">
        <w:rPr>
          <w:rFonts w:cs="Tahoma"/>
        </w:rPr>
        <w:t>, 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876C28"/>
    <w:rsid w:val="0090731F"/>
    <w:rsid w:val="00963E22"/>
    <w:rsid w:val="00B57E0B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14</cp:revision>
  <dcterms:created xsi:type="dcterms:W3CDTF">2015-12-29T10:26:00Z</dcterms:created>
  <dcterms:modified xsi:type="dcterms:W3CDTF">2017-11-01T12:54:00Z</dcterms:modified>
</cp:coreProperties>
</file>