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6B77BB" w:rsidRPr="006B77BB" w:rsidTr="008E741D">
        <w:tc>
          <w:tcPr>
            <w:tcW w:w="10206" w:type="dxa"/>
          </w:tcPr>
          <w:p w:rsidR="006B77BB" w:rsidRPr="006B77BB" w:rsidRDefault="006B77BB" w:rsidP="00E01D03">
            <w:pPr>
              <w:tabs>
                <w:tab w:val="left" w:pos="3369"/>
              </w:tabs>
              <w:spacing w:line="260" w:lineRule="atLeast"/>
            </w:pPr>
            <w:r w:rsidRPr="006B77BB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EB1E8C" w:rsidRPr="006B77B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Επιλογή1"/>
            <w:r w:rsidRPr="006B77BB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D92DAA">
              <w:rPr>
                <w:rFonts w:ascii="Tahoma" w:hAnsi="Tahoma" w:cs="Tahoma"/>
                <w:sz w:val="16"/>
                <w:szCs w:val="16"/>
              </w:rPr>
            </w:r>
            <w:r w:rsidR="00D92DAA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EB1E8C" w:rsidRPr="006B77BB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0"/>
          </w:p>
        </w:tc>
      </w:tr>
    </w:tbl>
    <w:p w:rsidR="006B77BB" w:rsidRDefault="006B77BB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638"/>
        <w:gridCol w:w="2624"/>
        <w:gridCol w:w="5901"/>
      </w:tblGrid>
      <w:tr w:rsidR="006B77BB" w:rsidRPr="00F40948" w:rsidTr="00603A35">
        <w:trPr>
          <w:trHeight w:val="377"/>
        </w:trPr>
        <w:tc>
          <w:tcPr>
            <w:tcW w:w="806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6B77BB" w:rsidRDefault="00603A35" w:rsidP="00603A3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 Β</w:t>
            </w:r>
          </w:p>
          <w:p w:rsidR="003E1B31" w:rsidRDefault="003E1B31" w:rsidP="00603A3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Ελέγχου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77BB" w:rsidRPr="000E0754" w:rsidRDefault="006B77B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6B77BB" w:rsidRPr="000E0754" w:rsidRDefault="006B77BB" w:rsidP="006B77B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8511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Στέλεχος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Ελέγχου </w:t>
            </w:r>
          </w:p>
        </w:tc>
      </w:tr>
      <w:tr w:rsidR="006B77BB" w:rsidRPr="00F40948" w:rsidTr="00603A35">
        <w:trPr>
          <w:trHeight w:val="377"/>
        </w:trPr>
        <w:tc>
          <w:tcPr>
            <w:tcW w:w="806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6B77BB" w:rsidRPr="000E0754" w:rsidRDefault="006B77B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77BB" w:rsidRPr="000E0754" w:rsidRDefault="006B77B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6B77BB" w:rsidRPr="000E0754" w:rsidRDefault="006B77BB" w:rsidP="00FC52C0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της Μονάδας </w:t>
            </w:r>
          </w:p>
        </w:tc>
      </w:tr>
      <w:tr w:rsidR="006B77BB" w:rsidRPr="00F40948" w:rsidTr="00603A35">
        <w:trPr>
          <w:trHeight w:val="142"/>
        </w:trPr>
        <w:tc>
          <w:tcPr>
            <w:tcW w:w="806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6B77BB" w:rsidRDefault="006B77B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77BB" w:rsidRPr="000E0754" w:rsidRDefault="006B77B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ΥΦΙΣΤΑΜΕΝΟΙ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6B77BB" w:rsidRPr="000E0754" w:rsidRDefault="006B77BB" w:rsidP="00D63145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Δεν υπάρχουν </w:t>
            </w:r>
          </w:p>
        </w:tc>
      </w:tr>
      <w:tr w:rsidR="006B77BB" w:rsidRPr="00F40948" w:rsidTr="00603A35">
        <w:trPr>
          <w:trHeight w:val="165"/>
        </w:trPr>
        <w:tc>
          <w:tcPr>
            <w:tcW w:w="806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6B77BB" w:rsidRDefault="006B77B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77BB" w:rsidRPr="000E0754" w:rsidRDefault="006B77B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6B77BB" w:rsidRPr="000E0754" w:rsidRDefault="006B77BB" w:rsidP="00D6314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77BB" w:rsidRPr="00F40948" w:rsidTr="008E741D">
        <w:trPr>
          <w:trHeight w:val="1131"/>
        </w:trPr>
        <w:tc>
          <w:tcPr>
            <w:tcW w:w="806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6B77BB" w:rsidRPr="000E0754" w:rsidRDefault="006B77B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77BB" w:rsidRPr="000E0754" w:rsidRDefault="006B77B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>ΣΥΝ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ΟΠΤΙΚΗ ΠΕΡΙΓΡΑΦΗ ΘΕΣΗΣ ΕΡΓΑΣΙΑΣ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6B77BB" w:rsidRPr="0060427E" w:rsidRDefault="006B77BB" w:rsidP="00334CE3">
            <w:pPr>
              <w:rPr>
                <w:rFonts w:ascii="Tahoma" w:hAnsi="Tahoma" w:cs="Tahoma"/>
                <w:sz w:val="16"/>
                <w:szCs w:val="16"/>
              </w:rPr>
            </w:pPr>
            <w:r w:rsidRPr="003E5BF3">
              <w:rPr>
                <w:rFonts w:ascii="Tahoma" w:hAnsi="Tahoma" w:cs="Tahoma"/>
                <w:bCs/>
                <w:sz w:val="16"/>
                <w:szCs w:val="16"/>
              </w:rPr>
              <w:t>Ο υπεύθυνος για</w:t>
            </w:r>
            <w:r w:rsidR="00541C17" w:rsidRPr="00541C17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3E5BF3">
              <w:rPr>
                <w:rFonts w:ascii="Tahoma" w:hAnsi="Tahoma" w:cs="Tahoma"/>
                <w:bCs/>
                <w:sz w:val="16"/>
                <w:szCs w:val="16"/>
              </w:rPr>
              <w:t xml:space="preserve">τη διενέργεια επιθεωρήσεων, </w:t>
            </w:r>
            <w:r w:rsidR="00334CE3">
              <w:rPr>
                <w:rFonts w:ascii="Tahoma" w:hAnsi="Tahoma" w:cs="Tahoma"/>
                <w:bCs/>
                <w:sz w:val="16"/>
                <w:szCs w:val="16"/>
              </w:rPr>
              <w:t xml:space="preserve">για </w:t>
            </w:r>
            <w:r w:rsidRPr="003E5BF3">
              <w:rPr>
                <w:rFonts w:ascii="Tahoma" w:hAnsi="Tahoma" w:cs="Tahoma"/>
                <w:bCs/>
                <w:sz w:val="16"/>
                <w:szCs w:val="16"/>
              </w:rPr>
              <w:t xml:space="preserve">την παρακολούθηση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και αξιολόγηση </w:t>
            </w:r>
            <w:r w:rsidRPr="003E5BF3">
              <w:rPr>
                <w:rFonts w:ascii="Tahoma" w:hAnsi="Tahoma" w:cs="Tahoma"/>
                <w:bCs/>
                <w:sz w:val="16"/>
                <w:szCs w:val="16"/>
              </w:rPr>
              <w:t xml:space="preserve">των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αποτελεσμάτων των ελέγχων</w:t>
            </w:r>
            <w:r w:rsidR="00334CE3">
              <w:rPr>
                <w:rFonts w:ascii="Tahoma" w:hAnsi="Tahoma" w:cs="Tahoma"/>
                <w:bCs/>
                <w:sz w:val="16"/>
                <w:szCs w:val="16"/>
              </w:rPr>
              <w:t xml:space="preserve"> και τη λήψη διορθωτικών μέτρων</w:t>
            </w:r>
            <w:r w:rsidRPr="003E5BF3">
              <w:rPr>
                <w:rFonts w:ascii="Tahoma" w:hAnsi="Tahoma" w:cs="Tahoma"/>
                <w:bCs/>
                <w:sz w:val="16"/>
                <w:szCs w:val="16"/>
              </w:rPr>
              <w:t xml:space="preserve">, </w:t>
            </w:r>
            <w:r w:rsidR="00334CE3">
              <w:rPr>
                <w:rFonts w:ascii="Tahoma" w:hAnsi="Tahoma" w:cs="Tahoma"/>
                <w:bCs/>
                <w:sz w:val="16"/>
                <w:szCs w:val="16"/>
              </w:rPr>
              <w:t xml:space="preserve">για </w:t>
            </w:r>
            <w:r w:rsidRPr="003E5BF3">
              <w:rPr>
                <w:rFonts w:ascii="Tahoma" w:hAnsi="Tahoma" w:cs="Tahoma"/>
                <w:bCs/>
                <w:sz w:val="16"/>
                <w:szCs w:val="16"/>
              </w:rPr>
              <w:t xml:space="preserve">τη λειτουργία του ΕΣΠΕΛ και </w:t>
            </w:r>
            <w:r w:rsidR="00603A35">
              <w:rPr>
                <w:rFonts w:ascii="Tahoma" w:hAnsi="Tahoma" w:cs="Tahoma"/>
                <w:bCs/>
                <w:sz w:val="16"/>
                <w:szCs w:val="16"/>
              </w:rPr>
              <w:t xml:space="preserve">για </w:t>
            </w:r>
            <w:r w:rsidRPr="003E5BF3">
              <w:rPr>
                <w:rFonts w:ascii="Tahoma" w:hAnsi="Tahoma" w:cs="Tahoma"/>
                <w:bCs/>
                <w:sz w:val="16"/>
                <w:szCs w:val="16"/>
              </w:rPr>
              <w:t>τη σύνταξη σχετικών εκθέσεων και αναφορών, εισηγούμενος για τα παραπάνω θέματα στον Προϊστάμενο της Μονάδας.</w:t>
            </w:r>
          </w:p>
        </w:tc>
      </w:tr>
    </w:tbl>
    <w:p w:rsidR="006B77BB" w:rsidRDefault="006B77BB" w:rsidP="003E1B31">
      <w:pPr>
        <w:tabs>
          <w:tab w:val="left" w:pos="1390"/>
        </w:tabs>
      </w:pPr>
      <w:r>
        <w:tab/>
      </w:r>
    </w:p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46D1A" w:rsidRPr="009550B1" w:rsidTr="002F0108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548DD4" w:themeFill="text2" w:themeFillTint="99"/>
          </w:tcPr>
          <w:p w:rsidR="00546D1A" w:rsidRPr="009550B1" w:rsidRDefault="00546D1A" w:rsidP="006B77B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 ΘΕΣΗΣ ΕΡΓΑΣΙΑΣ</w:t>
            </w:r>
          </w:p>
        </w:tc>
      </w:tr>
      <w:tr w:rsidR="00546D1A" w:rsidRPr="00F83C07" w:rsidTr="00D94F9C">
        <w:trPr>
          <w:trHeight w:val="64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BD5F45" w:rsidRDefault="00BD5F45" w:rsidP="00BD5F45">
            <w:pPr>
              <w:spacing w:before="24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D5F45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Επιθεωρήσεις </w:t>
            </w:r>
          </w:p>
          <w:p w:rsidR="00493F0C" w:rsidRDefault="00493F0C" w:rsidP="00F72DF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Διενέργεια επιθεωρήσεων στους φορείς </w:t>
            </w:r>
            <w:r w:rsidR="00603A3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που ασκούν διαχείριση,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στους δικαιούχους συγχρηματοδοτούμενων πράξεων και </w:t>
            </w:r>
            <w:r w:rsidR="00603A3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τις πράξεις </w:t>
            </w:r>
            <w:r w:rsidR="005A2FC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που υλοποιούν</w:t>
            </w:r>
          </w:p>
          <w:p w:rsidR="00493F0C" w:rsidRPr="00DB2FE3" w:rsidRDefault="00493F0C" w:rsidP="00F72DF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Σύνταξη εκθέσεων για τη λήψη τυχόν απαιτούμενων </w:t>
            </w:r>
            <w:r w:rsidR="003E5BF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μέτρων</w:t>
            </w:r>
            <w:r w:rsidR="0077681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</w:t>
            </w:r>
            <w:r w:rsidR="00776810" w:rsidRPr="00DB2FE3">
              <w:rPr>
                <w:rFonts w:ascii="Tahoma" w:hAnsi="Tahoma" w:cs="Tahoma"/>
                <w:bCs/>
                <w:sz w:val="18"/>
                <w:szCs w:val="18"/>
              </w:rPr>
              <w:t>ως αποτέλεσμα των επιθεωρήσεων που διενεργούνται</w:t>
            </w:r>
          </w:p>
          <w:p w:rsidR="00236420" w:rsidRPr="00236420" w:rsidRDefault="00236420" w:rsidP="00236420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236420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Πιστοποιήσεις / αιτήματα πληρωμών </w:t>
            </w:r>
          </w:p>
          <w:p w:rsidR="00236420" w:rsidRDefault="00493F0C" w:rsidP="00236420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Διασφάλιση λήψης επαρκών πληροφοριών από τις </w:t>
            </w:r>
            <w:r w:rsidR="00603A3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Διαχειριστικές Αρχές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σχετικά με τις διαδικασίες </w:t>
            </w:r>
            <w:r w:rsidR="00603A3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που εφαρμόστηκαν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τις επαληθεύσεις </w:t>
            </w:r>
            <w:r w:rsidR="00603A3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που πραγματοποιήθηκαν όσον αφορά τις δαπάνες που περιλαμβάνονται στις δηλώσεις δαπανών</w:t>
            </w:r>
          </w:p>
          <w:p w:rsidR="00236420" w:rsidRDefault="00236420" w:rsidP="00236420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Εισήγηση στη Μονάδα Α, προληπτικών και διορθωτικών μέτρων κατά την κατάρτιση και υποβολή των πιστοποιήσεων και των αιτημάτων πληρωμής προς την ΕΕ </w:t>
            </w:r>
          </w:p>
          <w:p w:rsidR="00BD5F45" w:rsidRPr="00BD5F45" w:rsidRDefault="00BD5F45" w:rsidP="00BD5F45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BD5F45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Παρακολούθηση αποτελεσμάτων ελέγχων </w:t>
            </w:r>
          </w:p>
          <w:p w:rsidR="00493F0C" w:rsidRDefault="00493F0C" w:rsidP="00F72DF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Παρακολούθηση </w:t>
            </w:r>
            <w:r w:rsidR="00603A3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αξιολόγηση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των αποτελεσμάτων των ελέγχων </w:t>
            </w:r>
            <w:r w:rsidR="00603A3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που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διενεργ</w:t>
            </w:r>
            <w:r w:rsidR="00603A3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ήθηκαν από τα ελεγκτικά όργανα της Ε. Επιτροπής, την ΕΔΕΛ, τις ΔΑ των ΕΠ και τα λοιπά ελεγκτικά όργανα </w:t>
            </w:r>
          </w:p>
          <w:p w:rsidR="00BD2E5E" w:rsidRDefault="00BD2E5E" w:rsidP="00F72DF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</w:t>
            </w:r>
            <w:r w:rsidR="000B3DA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ηση μέτρων </w:t>
            </w:r>
            <w:r w:rsidR="00F80D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(προληπτικών, διορθωτικών κλπ.) </w:t>
            </w:r>
            <w:r w:rsidR="000B3DA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για την αντιμετώπιση </w:t>
            </w:r>
            <w:r w:rsidR="00F80D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των αποτελεσμάτων των </w:t>
            </w:r>
            <w:r w:rsidR="000B3DA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ελέγχ</w:t>
            </w:r>
            <w:r w:rsidR="00F80D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ων</w:t>
            </w:r>
            <w:r w:rsidR="000B3DA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="005155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συμπεριλαμβανομένης και της εξαίρεσης από τη δήλωση δαπανών</w:t>
            </w:r>
          </w:p>
          <w:p w:rsidR="00F80D58" w:rsidRDefault="00F80D58" w:rsidP="00F72DF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Συντονισμός των εμπλεκόμενων φορέων για τη διατύπωση των θέσεων των ελληνικών αρχών στις απαντήσεις προς το Ευρωπαϊκό Ελεγκτικό Συνέδριο μετά από ελέγχους του  </w:t>
            </w:r>
          </w:p>
          <w:p w:rsidR="00F27B05" w:rsidRDefault="00354492" w:rsidP="00236420">
            <w:pPr>
              <w:spacing w:before="24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Εκπόνηση</w:t>
            </w:r>
            <w:r w:rsidR="00541C17">
              <w:rPr>
                <w:rFonts w:ascii="Tahoma" w:hAnsi="Tahoma" w:cs="Tahoma"/>
                <w:b/>
                <w:bCs/>
                <w:color w:val="000080"/>
                <w:sz w:val="18"/>
                <w:szCs w:val="18"/>
                <w:lang w:val="en-US"/>
              </w:rPr>
              <w:t xml:space="preserve"> </w:t>
            </w:r>
            <w:r w:rsidR="00236420" w:rsidRPr="00236420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οδηγιών/ κατευθύνσεων</w:t>
            </w:r>
          </w:p>
          <w:p w:rsidR="00F80D58" w:rsidRDefault="00354492" w:rsidP="00F72DF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Εκπόν</w:t>
            </w:r>
            <w:r w:rsidR="00F80D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ση</w:t>
            </w:r>
            <w:r w:rsidR="00F80D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οδηγ</w:t>
            </w:r>
            <w:r w:rsidR="0003494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ιών / εγκυκλίων </w:t>
            </w:r>
            <w:r w:rsidR="00F80D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/ κατευθύνσεων προς τις ΔΑ και τους Δικαιούχους </w:t>
            </w:r>
          </w:p>
          <w:p w:rsidR="00BD5F45" w:rsidRDefault="00BD5F45" w:rsidP="00BD5F45">
            <w:pPr>
              <w:spacing w:before="24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D5F45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Καταπολέμηση</w:t>
            </w:r>
            <w:r w:rsidR="00541C17">
              <w:rPr>
                <w:rFonts w:ascii="Tahoma" w:hAnsi="Tahoma" w:cs="Tahoma"/>
                <w:b/>
                <w:bCs/>
                <w:color w:val="000080"/>
                <w:sz w:val="18"/>
                <w:szCs w:val="18"/>
                <w:lang w:val="en-US"/>
              </w:rPr>
              <w:t xml:space="preserve"> </w:t>
            </w:r>
            <w:r w:rsidRPr="00BD5F45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της απάτης</w:t>
            </w:r>
          </w:p>
          <w:p w:rsidR="00D94F9C" w:rsidRPr="00D94F9C" w:rsidRDefault="00D94F9C" w:rsidP="00D94F9C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94F9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Εκπροσώπηση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Υπηρεσίας </w:t>
            </w:r>
            <w:r w:rsidRPr="00D94F9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στο Εσωτερικό Δίκτυο Συνεργασίας για τη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ν πρόληψη και την καταπολέμηση </w:t>
            </w:r>
            <w:r w:rsidRPr="00D94F9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απάτης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στις </w:t>
            </w:r>
            <w:r w:rsidRPr="00D94F9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διαρθρωτικ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ές δράσεις, </w:t>
            </w:r>
            <w:r w:rsidRPr="00D94F9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το οποίο συντονίζεται από την Ειδική Υπηρεσία Θεσμικής Υποστήριξης</w:t>
            </w:r>
          </w:p>
          <w:p w:rsidR="00BD5F45" w:rsidRDefault="00BD5F45" w:rsidP="00BD5F45">
            <w:pPr>
              <w:spacing w:before="24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Λειτουργία </w:t>
            </w:r>
            <w:r w:rsidRPr="00BD5F45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ΕΣΠΕΛ</w:t>
            </w:r>
            <w:r w:rsidR="003E1B31" w:rsidRPr="006B2F26">
              <w:rPr>
                <w:rStyle w:val="FootnoteReference"/>
                <w:rFonts w:ascii="Tahoma" w:hAnsi="Tahoma" w:cs="Tahoma"/>
                <w:bCs/>
                <w:color w:val="17365D" w:themeColor="text2" w:themeShade="BF"/>
                <w:sz w:val="18"/>
                <w:szCs w:val="18"/>
              </w:rPr>
              <w:footnoteReference w:id="1"/>
            </w:r>
          </w:p>
          <w:p w:rsidR="00BD5F45" w:rsidRDefault="00555607" w:rsidP="00F72DF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θεμάτων που αφορούν τη λειτουργία του Συμβούλου Ποιοτικού Ελέγχου (ΕΣΠΕΛ)</w:t>
            </w:r>
          </w:p>
          <w:p w:rsidR="00BD5F45" w:rsidRDefault="00BD5F45" w:rsidP="00F72DF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</w:t>
            </w:r>
            <w:r w:rsidR="00F80D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αρακολούθηση </w:t>
            </w:r>
            <w:r w:rsidR="0055560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του έργου του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ΕΣΠΕΛ </w:t>
            </w:r>
          </w:p>
          <w:p w:rsidR="00BD5F45" w:rsidRDefault="00BD5F45" w:rsidP="00BD5F45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D5F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="00555607" w:rsidRPr="00BD5F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πεξεργασία των αποτελεσμάτων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</w:t>
            </w:r>
            <w:r w:rsidR="00555607" w:rsidRPr="00BD5F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ελέγχου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ποιότητας των δημόσιων τεχνικών έργων και δ</w:t>
            </w:r>
            <w:r w:rsidRPr="00BD5F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ιατύπωση προτάσεων </w:t>
            </w:r>
            <w:r w:rsidR="00555607" w:rsidRPr="00BD5F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λήψη</w:t>
            </w:r>
            <w:r w:rsidRPr="00BD5F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555607" w:rsidRPr="00BD5F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των απαραίτητων μέτρων</w:t>
            </w:r>
            <w:r w:rsidR="00541C17" w:rsidRPr="00541C1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σε συνέχεια των αποτελεσμάτων του ελέγχου </w:t>
            </w:r>
          </w:p>
          <w:p w:rsidR="00BD5F45" w:rsidRPr="00495F3D" w:rsidRDefault="00BD5F45" w:rsidP="00BD5F45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495F3D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lastRenderedPageBreak/>
              <w:t>Άλλα καθήκοντα</w:t>
            </w:r>
          </w:p>
          <w:p w:rsidR="00BD5F45" w:rsidRDefault="00BD5F45" w:rsidP="00BD5F45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Παρακολούθηση συμβάσεων και έργου εξωτερικών συνεργατών / συμβούλων (π.χ. παροχή υπηρεσιών επιθεώρησης δικαιούχων)</w:t>
            </w:r>
          </w:p>
          <w:p w:rsidR="00D94F9C" w:rsidRPr="00D94F9C" w:rsidRDefault="00D94F9C" w:rsidP="00D94F9C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94F9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Συνεργασία με ΕΑΣ, άλλες υπηρεσίες Υπουργείου/ Περιφέρειας και παροχή αιτούμενων πληροφοριών/αναφορών</w:t>
            </w:r>
          </w:p>
          <w:p w:rsidR="00D94F9C" w:rsidRPr="00D94F9C" w:rsidRDefault="00D94F9C" w:rsidP="00D94F9C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94F9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Διασφάλιση της συλλογής και έγκαιρης καταχώρησης στο ΟΠΣ των απαραίτητων δεδομένων που αφορούν στις αρμοδιότητες της θέσης εργασίας. Ευθύνη για την ακρίβεια, την ποιότητα και πληρότητα των στο</w:t>
            </w:r>
            <w:r w:rsidR="00FF1E9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ιχείων που καταχωρίζει στο ΟΠΣ</w:t>
            </w:r>
          </w:p>
          <w:p w:rsidR="00E12BBE" w:rsidRPr="00E12BBE" w:rsidRDefault="00E12BBE" w:rsidP="00E12BBE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12BB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Επιτροπές και Ομάδες Εργασίας που συγκροτούνται, κατά περίπτωση, στο πλαίσιο λειτουργίας της 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</w:t>
            </w:r>
          </w:p>
          <w:p w:rsidR="00E12BBE" w:rsidRDefault="00E12BBE" w:rsidP="00E12BBE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12BB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</w:t>
            </w:r>
            <w:r w:rsidR="00D9606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ωπαϊκά συνέδρια και συναντήσεις</w:t>
            </w:r>
          </w:p>
          <w:p w:rsidR="0060427E" w:rsidRPr="0060427E" w:rsidRDefault="0060427E" w:rsidP="00E12BBE">
            <w:pPr>
              <w:numPr>
                <w:ilvl w:val="0"/>
                <w:numId w:val="2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9351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Συμμετοχή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εισηγήσεις </w:t>
            </w:r>
            <w:r w:rsidRPr="00D9351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σε σεμινάρ</w:t>
            </w:r>
            <w:r w:rsidR="0077681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ια / επιμορφώσεις / καταρτίσεις</w:t>
            </w:r>
          </w:p>
        </w:tc>
      </w:tr>
    </w:tbl>
    <w:p w:rsidR="00FF1E9C" w:rsidRDefault="00FF1E9C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46D1A" w:rsidRPr="009550B1" w:rsidTr="002F0108">
        <w:trPr>
          <w:trHeight w:val="289"/>
          <w:tblHeader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546D1A" w:rsidRPr="009550B1" w:rsidRDefault="00546D1A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2. ΣΧΕΣΕΙΣ ΣΥΝΕΡΓΑΣΙΑΣ</w:t>
            </w:r>
          </w:p>
        </w:tc>
      </w:tr>
      <w:tr w:rsidR="00546D1A" w:rsidRPr="00371252" w:rsidTr="00FF1E9C">
        <w:trPr>
          <w:trHeight w:val="1115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46D1A" w:rsidRDefault="005212BA" w:rsidP="008E741D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</w:t>
            </w:r>
            <w:r w:rsidR="00781AD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πηρεσίες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="00781AD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θνικής Αρχής Συντονισμού </w:t>
            </w:r>
          </w:p>
          <w:p w:rsidR="00546D1A" w:rsidRDefault="00546D1A" w:rsidP="008E741D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Ευρωπαϊκή Επιτροπή</w:t>
            </w:r>
          </w:p>
          <w:p w:rsidR="00546D1A" w:rsidRDefault="00546D1A" w:rsidP="008E741D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Ελεγκτικό Συνέδριο</w:t>
            </w:r>
          </w:p>
          <w:p w:rsidR="00546D1A" w:rsidRPr="00762DFF" w:rsidRDefault="00EB4032" w:rsidP="008E741D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ΕΔΕΛ</w:t>
            </w:r>
          </w:p>
          <w:p w:rsidR="00781ADE" w:rsidRDefault="00546D1A" w:rsidP="008E741D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ΕΥΔ</w:t>
            </w:r>
            <w:r w:rsidR="00781AD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των ΕΠ </w:t>
            </w:r>
          </w:p>
          <w:p w:rsidR="00781ADE" w:rsidRDefault="00781ADE" w:rsidP="008E741D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Επιτελικές Δομές Υπουργείων </w:t>
            </w:r>
          </w:p>
          <w:p w:rsidR="00546D1A" w:rsidRDefault="00546D1A" w:rsidP="008E741D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40DC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Δικαιούχοι</w:t>
            </w:r>
          </w:p>
          <w:p w:rsidR="00D96061" w:rsidRDefault="00D96061" w:rsidP="008E741D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Δίκτυο καταπολέμησης της απάτης </w:t>
            </w:r>
          </w:p>
          <w:p w:rsidR="00034946" w:rsidRDefault="00034946" w:rsidP="008E741D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3494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Γενική Γραμματεία Καταπολέμησης της Διαφθοράς, που έχει οριστεί και ως η αρμόδια Εθνική Αρχή για το Συντονισμό της καταπολέμησης της απάτης (AFCOS)</w:t>
            </w:r>
          </w:p>
          <w:p w:rsidR="00034946" w:rsidRDefault="00034946" w:rsidP="008E741D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3494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Φορείς χρηματοδότησης, ΔΔΕ</w:t>
            </w:r>
          </w:p>
          <w:p w:rsidR="002E4911" w:rsidRDefault="002E4911" w:rsidP="008E741D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ΕΣΠΕΛ </w:t>
            </w:r>
          </w:p>
          <w:p w:rsidR="00781ADE" w:rsidRPr="00D5686E" w:rsidRDefault="00781ADE" w:rsidP="008E741D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Άλλες ελεγκτικές αρχές / φορείς </w:t>
            </w:r>
          </w:p>
        </w:tc>
      </w:tr>
    </w:tbl>
    <w:p w:rsidR="00546D1A" w:rsidRDefault="00546D1A" w:rsidP="00763ED3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46D1A" w:rsidRPr="009550B1" w:rsidTr="002F0108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546D1A" w:rsidRPr="0086603F" w:rsidRDefault="00546D1A" w:rsidP="003C2F2E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3. ΠΡΟΣΟΝΤΑ ΚΑΛΥΨΗΣ ΘΕΣΗΣ ΕΡΓΑΣΙΑΣ</w:t>
            </w:r>
          </w:p>
        </w:tc>
      </w:tr>
      <w:tr w:rsidR="00546D1A" w:rsidRPr="00F83C07" w:rsidTr="008E741D">
        <w:trPr>
          <w:trHeight w:val="290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46D1A" w:rsidRPr="00F83C07" w:rsidRDefault="00546D1A" w:rsidP="003C2F2E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127E77" w:rsidRPr="00F83C07" w:rsidTr="008E741D">
        <w:trPr>
          <w:trHeight w:val="1806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27E77" w:rsidRPr="00E93394" w:rsidRDefault="00127E77" w:rsidP="008E741D">
            <w:pPr>
              <w:pStyle w:val="ListParagraph"/>
              <w:spacing w:before="120"/>
              <w:ind w:left="34"/>
              <w:contextualSpacing w:val="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F67F3C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127E77" w:rsidRPr="00E93394" w:rsidRDefault="00127E77" w:rsidP="008E741D">
            <w:pPr>
              <w:pStyle w:val="ListParagraph"/>
              <w:ind w:left="360"/>
              <w:contextualSpacing w:val="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</w:p>
          <w:p w:rsidR="00127E77" w:rsidRPr="00E93394" w:rsidRDefault="00127E77" w:rsidP="008E741D">
            <w:pPr>
              <w:pStyle w:val="ListParagraph"/>
              <w:numPr>
                <w:ilvl w:val="0"/>
                <w:numId w:val="24"/>
              </w:numPr>
              <w:ind w:left="31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E93394">
              <w:rPr>
                <w:rFonts w:ascii="Tahoma" w:hAnsi="Tahoma" w:cs="Tahoma"/>
                <w:sz w:val="18"/>
                <w:szCs w:val="18"/>
              </w:rPr>
              <w:t>Πτυχίο ή δίπλωμα ΑΕΙ (ΠΕ</w:t>
            </w:r>
            <w:r w:rsidR="0086603F" w:rsidRPr="0086603F">
              <w:rPr>
                <w:rFonts w:ascii="Tahoma" w:hAnsi="Tahoma" w:cs="Tahoma"/>
                <w:sz w:val="18"/>
                <w:szCs w:val="18"/>
              </w:rPr>
              <w:t>/</w:t>
            </w:r>
            <w:r w:rsidR="0086603F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E93394">
              <w:rPr>
                <w:rFonts w:ascii="Tahoma" w:hAnsi="Tahoma" w:cs="Tahoma"/>
                <w:sz w:val="18"/>
                <w:szCs w:val="18"/>
              </w:rPr>
              <w:t>) της ημεδαπής ή ισότιμου ιδρύματος της αλλοδαπής</w:t>
            </w:r>
          </w:p>
          <w:p w:rsidR="00127E77" w:rsidRPr="00E93394" w:rsidRDefault="00127E77" w:rsidP="008E741D">
            <w:pPr>
              <w:pStyle w:val="ListParagraph"/>
              <w:numPr>
                <w:ilvl w:val="0"/>
                <w:numId w:val="24"/>
              </w:numPr>
              <w:ind w:left="31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E93394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</w:p>
          <w:p w:rsidR="00127E77" w:rsidRPr="00F67F3C" w:rsidRDefault="00127E77" w:rsidP="008E741D">
            <w:pPr>
              <w:numPr>
                <w:ilvl w:val="0"/>
                <w:numId w:val="20"/>
              </w:numPr>
              <w:tabs>
                <w:tab w:val="clear" w:pos="720"/>
                <w:tab w:val="num" w:pos="601"/>
              </w:tabs>
              <w:overflowPunct/>
              <w:autoSpaceDE/>
              <w:autoSpaceDN/>
              <w:adjustRightInd/>
              <w:ind w:left="743" w:hanging="425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3ετής για τους κατόχους πτυχίου ή διπλώματος της ημεδαπής ή ισότιμου ιδρύματος της αλλοδαπής</w:t>
            </w:r>
          </w:p>
          <w:p w:rsidR="00127E77" w:rsidRPr="00F67F3C" w:rsidRDefault="00127E77" w:rsidP="008E741D">
            <w:pPr>
              <w:numPr>
                <w:ilvl w:val="0"/>
                <w:numId w:val="20"/>
              </w:numPr>
              <w:tabs>
                <w:tab w:val="clear" w:pos="720"/>
                <w:tab w:val="num" w:pos="601"/>
              </w:tabs>
              <w:overflowPunct/>
              <w:autoSpaceDE/>
              <w:autoSpaceDN/>
              <w:adjustRightInd/>
              <w:ind w:left="601" w:hanging="283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2ετής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</w:t>
            </w:r>
          </w:p>
          <w:p w:rsidR="00127E77" w:rsidRPr="00C462D6" w:rsidRDefault="00127E77" w:rsidP="008E741D">
            <w:pPr>
              <w:numPr>
                <w:ilvl w:val="0"/>
                <w:numId w:val="20"/>
              </w:numPr>
              <w:tabs>
                <w:tab w:val="clear" w:pos="720"/>
                <w:tab w:val="num" w:pos="601"/>
              </w:tabs>
              <w:overflowPunct/>
              <w:autoSpaceDE/>
              <w:autoSpaceDN/>
              <w:adjustRightInd/>
              <w:ind w:left="743" w:hanging="425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1ετής για τους κατόχους διδακτορικού διπλώματος της ημεδαπής ή ισότιμου της αλλοδαπής</w:t>
            </w:r>
          </w:p>
        </w:tc>
      </w:tr>
      <w:tr w:rsidR="009164B4" w:rsidRPr="00F83C07" w:rsidTr="008E741D">
        <w:trPr>
          <w:trHeight w:val="2823"/>
        </w:trPr>
        <w:tc>
          <w:tcPr>
            <w:tcW w:w="5000" w:type="pct"/>
            <w:tcBorders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9164B4" w:rsidRPr="00F67F3C" w:rsidRDefault="009164B4" w:rsidP="008E741D">
            <w:pPr>
              <w:pStyle w:val="ListParagraph"/>
              <w:ind w:left="0"/>
              <w:contextualSpacing w:val="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F67F3C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9164B4" w:rsidRPr="00F67F3C" w:rsidRDefault="009164B4" w:rsidP="008E741D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Γνώση ή/και εμπειρία των διαδικασιών διαχείρισης ή/και συντονισμού ή/και ελέγχου ή/και εφαρμογής κοινοτικών και αναπτυξιακών προγραμμάτων ή έργων ή/και εκτέλεσης έργων του δημόσιου ή ιδιωτικού τομέα κατά προτίμηση στα θεματικά αντικείμενα του τομέα ευθύνης της ΕΥ</w:t>
            </w:r>
          </w:p>
          <w:p w:rsidR="009164B4" w:rsidRPr="00C01AAE" w:rsidRDefault="009164B4" w:rsidP="008E741D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C01AAE">
              <w:rPr>
                <w:rFonts w:ascii="Tahoma" w:hAnsi="Tahoma" w:cs="Tahoma"/>
                <w:sz w:val="18"/>
                <w:szCs w:val="18"/>
              </w:rPr>
              <w:t>Εξειδικευμένη εμπειρία στη διαδικασία πληρωμών των δαπανών συγχρηματοδοτούμενων προγραμμάτων και διαχείρισης λογαριασμών ή/και σε ελέγχους και επαληθεύσεις ή/και σε θέματα καταπολέμησης της απάτης</w:t>
            </w:r>
          </w:p>
          <w:p w:rsidR="009164B4" w:rsidRPr="00F67F3C" w:rsidRDefault="009164B4" w:rsidP="008E741D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9164B4" w:rsidRPr="00F67F3C" w:rsidRDefault="009164B4" w:rsidP="008E741D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9164B4" w:rsidRPr="00F67F3C" w:rsidRDefault="009164B4" w:rsidP="008E741D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9164B4" w:rsidRPr="00F67F3C" w:rsidRDefault="009164B4" w:rsidP="008E741D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9164B4" w:rsidRPr="00F83C07" w:rsidRDefault="009164B4" w:rsidP="008E741D">
            <w:pPr>
              <w:numPr>
                <w:ilvl w:val="1"/>
                <w:numId w:val="2"/>
              </w:num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Ικανότητα χρήσης εφαρμογών αυτομ</w:t>
            </w:r>
            <w:r>
              <w:rPr>
                <w:rFonts w:ascii="Tahoma" w:hAnsi="Tahoma" w:cs="Tahoma"/>
                <w:sz w:val="18"/>
                <w:szCs w:val="18"/>
              </w:rPr>
              <w:t xml:space="preserve">ατισμού γραφείου και υπηρεσιών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 w:rsidRPr="00F67F3C">
              <w:rPr>
                <w:rFonts w:ascii="Tahoma" w:hAnsi="Tahoma" w:cs="Tahoma"/>
                <w:sz w:val="18"/>
                <w:szCs w:val="18"/>
              </w:rPr>
              <w:t>nternet</w:t>
            </w:r>
          </w:p>
        </w:tc>
      </w:tr>
      <w:tr w:rsidR="00546D1A" w:rsidRPr="00F83C07" w:rsidTr="008E741D">
        <w:trPr>
          <w:trHeight w:val="565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46D1A" w:rsidRPr="00F83C07" w:rsidRDefault="00546D1A" w:rsidP="003C2F2E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lastRenderedPageBreak/>
              <w:t>Β. ΠΡΟΣΘΕΤΑ/ ΕΠΙΘΥΜΗΤΑ ΠΡΟΣΟΝΤΑ:</w:t>
            </w:r>
          </w:p>
        </w:tc>
      </w:tr>
      <w:tr w:rsidR="00371FD5" w:rsidRPr="00371252" w:rsidTr="004003D6">
        <w:trPr>
          <w:trHeight w:val="928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371FD5" w:rsidRPr="008E741D" w:rsidRDefault="00371FD5" w:rsidP="008E741D">
            <w:pPr>
              <w:pStyle w:val="ListParagraph"/>
              <w:numPr>
                <w:ilvl w:val="0"/>
                <w:numId w:val="14"/>
              </w:numPr>
              <w:spacing w:before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8E741D">
              <w:rPr>
                <w:rFonts w:ascii="Tahoma" w:hAnsi="Tahoma" w:cs="Tahoma"/>
                <w:sz w:val="18"/>
                <w:szCs w:val="18"/>
              </w:rPr>
              <w:t>Μεταπτυχιακές σπουδές κατά προτίμηση σε συναφές με το αντικείμενο της ΕΥ πεδίο ή σε θέματα οικονομικής / λογιστικής διαχείρισης</w:t>
            </w:r>
          </w:p>
          <w:p w:rsidR="00371FD5" w:rsidRPr="00024A71" w:rsidRDefault="00371FD5" w:rsidP="008E741D">
            <w:pPr>
              <w:numPr>
                <w:ilvl w:val="0"/>
                <w:numId w:val="14"/>
              </w:numPr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546D1A" w:rsidRPr="00541C17" w:rsidRDefault="00546D1A" w:rsidP="00763ED3"/>
    <w:p w:rsidR="00546D1A" w:rsidRDefault="00546D1A" w:rsidP="00763ED3"/>
    <w:p w:rsidR="00546D1A" w:rsidRPr="005D798C" w:rsidRDefault="00546D1A">
      <w:pPr>
        <w:rPr>
          <w:highlight w:val="yellow"/>
        </w:rPr>
      </w:pPr>
    </w:p>
    <w:p w:rsidR="00546D1A" w:rsidRDefault="00546D1A"/>
    <w:sectPr w:rsidR="00546D1A" w:rsidSect="008E74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21" w:bottom="1440" w:left="1247" w:header="709" w:footer="374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6F5" w:rsidRDefault="00A276F5">
      <w:r>
        <w:separator/>
      </w:r>
    </w:p>
  </w:endnote>
  <w:endnote w:type="continuationSeparator" w:id="0">
    <w:p w:rsidR="00A276F5" w:rsidRDefault="00A2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AA" w:rsidRDefault="00D92D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1D" w:rsidRPr="008E6BB1" w:rsidRDefault="008E6BB1" w:rsidP="00345CC1">
    <w:pPr>
      <w:pStyle w:val="Footer"/>
      <w:tabs>
        <w:tab w:val="clear" w:pos="8306"/>
        <w:tab w:val="right" w:pos="8789"/>
      </w:tabs>
      <w:rPr>
        <w:rFonts w:asciiTheme="minorHAnsi" w:hAnsiTheme="minorHAnsi"/>
        <w:sz w:val="18"/>
        <w:szCs w:val="18"/>
        <w:lang w:val="en-US"/>
      </w:rPr>
    </w:pPr>
    <w:r>
      <w:rPr>
        <w:lang w:val="en-US"/>
      </w:rPr>
      <w:tab/>
    </w:r>
    <w:r>
      <w:rPr>
        <w:lang w:val="en-US"/>
      </w:rPr>
      <w:tab/>
    </w:r>
  </w:p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8E741D" w:rsidRPr="00662F0B" w:rsidTr="00475F89">
      <w:trPr>
        <w:jc w:val="center"/>
      </w:trPr>
      <w:tc>
        <w:tcPr>
          <w:tcW w:w="3383" w:type="dxa"/>
          <w:shd w:val="clear" w:color="auto" w:fill="auto"/>
        </w:tcPr>
        <w:p w:rsidR="008E741D" w:rsidRPr="00662F0B" w:rsidRDefault="008E741D" w:rsidP="00475F89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8E741D" w:rsidRPr="00662F0B" w:rsidRDefault="008E741D" w:rsidP="00D92DAA">
          <w:pPr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D92DAA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</w:rPr>
            <w:t>.</w:t>
          </w:r>
          <w:r w:rsidR="00D92DAA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bookmarkStart w:id="1" w:name="_GoBack"/>
          <w:bookmarkEnd w:id="1"/>
          <w:r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8E741D" w:rsidRPr="00662F0B" w:rsidRDefault="00EB1E8C" w:rsidP="00475F89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="008E741D"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D92DAA">
            <w:rPr>
              <w:rFonts w:ascii="Tahoma" w:hAnsi="Tahoma" w:cs="Tahoma"/>
              <w:bCs/>
              <w:noProof/>
              <w:sz w:val="16"/>
              <w:szCs w:val="16"/>
            </w:rPr>
            <w:t>- 1 -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</w:p>
      </w:tc>
      <w:tc>
        <w:tcPr>
          <w:tcW w:w="3189" w:type="dxa"/>
          <w:shd w:val="clear" w:color="auto" w:fill="auto"/>
          <w:vAlign w:val="center"/>
        </w:tcPr>
        <w:p w:rsidR="008E741D" w:rsidRPr="00662F0B" w:rsidRDefault="008E741D" w:rsidP="00475F89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0D3E59A3" wp14:editId="2C01838E">
                <wp:extent cx="614045" cy="368300"/>
                <wp:effectExtent l="0" t="0" r="0" b="0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46D1A" w:rsidRPr="008E6BB1" w:rsidRDefault="00546D1A" w:rsidP="00345CC1">
    <w:pPr>
      <w:pStyle w:val="Footer"/>
      <w:tabs>
        <w:tab w:val="clear" w:pos="8306"/>
        <w:tab w:val="right" w:pos="8789"/>
      </w:tabs>
      <w:rPr>
        <w:rFonts w:asciiTheme="minorHAnsi" w:hAnsiTheme="minorHAnsi"/>
        <w:sz w:val="18"/>
        <w:szCs w:val="18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AA" w:rsidRDefault="00D92D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6F5" w:rsidRDefault="00A276F5">
      <w:r>
        <w:separator/>
      </w:r>
    </w:p>
  </w:footnote>
  <w:footnote w:type="continuationSeparator" w:id="0">
    <w:p w:rsidR="00A276F5" w:rsidRDefault="00A276F5">
      <w:r>
        <w:continuationSeparator/>
      </w:r>
    </w:p>
  </w:footnote>
  <w:footnote w:id="1">
    <w:p w:rsidR="003E1B31" w:rsidRPr="003B76EC" w:rsidRDefault="003E1B31" w:rsidP="00EA4890">
      <w:pPr>
        <w:pStyle w:val="FootnoteText"/>
        <w:ind w:right="-483"/>
        <w:rPr>
          <w:rFonts w:ascii="Tahoma" w:hAnsi="Tahoma" w:cs="Tahoma"/>
          <w:sz w:val="16"/>
          <w:szCs w:val="16"/>
        </w:rPr>
      </w:pPr>
      <w:r>
        <w:rPr>
          <w:rStyle w:val="FootnoteReference"/>
        </w:rPr>
        <w:footnoteRef/>
      </w:r>
      <w:r w:rsidRPr="003B76EC">
        <w:rPr>
          <w:rFonts w:ascii="Tahoma" w:hAnsi="Tahoma" w:cs="Tahoma"/>
          <w:sz w:val="16"/>
          <w:szCs w:val="16"/>
        </w:rPr>
        <w:t xml:space="preserve">Η άσκηση καθηκόντων </w:t>
      </w:r>
      <w:r>
        <w:rPr>
          <w:rFonts w:ascii="Tahoma" w:hAnsi="Tahoma" w:cs="Tahoma"/>
          <w:sz w:val="16"/>
          <w:szCs w:val="16"/>
        </w:rPr>
        <w:t xml:space="preserve">σχετικά με τη λειτουργία του έργου του ΕΣΠΕΛ </w:t>
      </w:r>
      <w:r w:rsidRPr="003B76EC">
        <w:rPr>
          <w:rFonts w:ascii="Tahoma" w:hAnsi="Tahoma" w:cs="Tahoma"/>
          <w:sz w:val="16"/>
          <w:szCs w:val="16"/>
        </w:rPr>
        <w:t xml:space="preserve">μπορεί να </w:t>
      </w:r>
      <w:r>
        <w:rPr>
          <w:rFonts w:ascii="Tahoma" w:hAnsi="Tahoma" w:cs="Tahoma"/>
          <w:sz w:val="16"/>
          <w:szCs w:val="16"/>
        </w:rPr>
        <w:t xml:space="preserve">περιληφθεί σε </w:t>
      </w:r>
      <w:r w:rsidRPr="003B76EC">
        <w:rPr>
          <w:rFonts w:ascii="Tahoma" w:hAnsi="Tahoma" w:cs="Tahoma"/>
          <w:sz w:val="16"/>
          <w:szCs w:val="16"/>
        </w:rPr>
        <w:t xml:space="preserve">διακριτό Περίγραμμα Θέσης Εργασίας </w:t>
      </w:r>
    </w:p>
    <w:p w:rsidR="003E1B31" w:rsidRDefault="003E1B3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AA" w:rsidRDefault="00D92D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79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10207"/>
    </w:tblGrid>
    <w:tr w:rsidR="006B77BB" w:rsidRPr="00F40948" w:rsidTr="008E741D">
      <w:trPr>
        <w:trHeight w:val="159"/>
      </w:trPr>
      <w:tc>
        <w:tcPr>
          <w:tcW w:w="5000" w:type="pct"/>
          <w:tcBorders>
            <w:top w:val="single" w:sz="8" w:space="0" w:color="auto"/>
            <w:bottom w:val="single" w:sz="8" w:space="0" w:color="auto"/>
          </w:tcBorders>
          <w:shd w:val="clear" w:color="auto" w:fill="548DD4" w:themeFill="text2" w:themeFillTint="99"/>
        </w:tcPr>
        <w:p w:rsidR="006B77BB" w:rsidRPr="00DA4FB1" w:rsidRDefault="006B77BB" w:rsidP="008E741D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την </w:t>
          </w:r>
          <w:r w:rsidR="008E741D">
            <w:rPr>
              <w:rFonts w:ascii="Tahoma" w:hAnsi="Tahoma" w:cs="Tahoma"/>
              <w:b/>
              <w:color w:val="FFFFFF"/>
              <w:sz w:val="16"/>
              <w:szCs w:val="16"/>
              <w:lang w:val="en-US"/>
            </w:rPr>
            <w:t>EY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 Αρχή Πιστοποίησης και Εξακρίβωσης Συγχρηματοδοτούμενων Προγραμμάτων </w:t>
          </w:r>
        </w:p>
      </w:tc>
    </w:tr>
  </w:tbl>
  <w:p w:rsidR="006B77BB" w:rsidRPr="006B77BB" w:rsidRDefault="006B77BB" w:rsidP="000E0754">
    <w:pPr>
      <w:rPr>
        <w:rFonts w:ascii="Tahoma" w:hAnsi="Tahoma" w:cs="Tahoma"/>
        <w:sz w:val="16"/>
        <w:szCs w:val="16"/>
      </w:rPr>
    </w:pPr>
  </w:p>
  <w:tbl>
    <w:tblPr>
      <w:tblW w:w="5179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10207"/>
    </w:tblGrid>
    <w:tr w:rsidR="00546D1A" w:rsidRPr="00BA2F92" w:rsidTr="008E741D">
      <w:trPr>
        <w:trHeight w:val="332"/>
      </w:trPr>
      <w:tc>
        <w:tcPr>
          <w:tcW w:w="5000" w:type="pct"/>
          <w:tcBorders>
            <w:top w:val="single" w:sz="4" w:space="0" w:color="auto"/>
            <w:bottom w:val="single" w:sz="4" w:space="0" w:color="000000"/>
          </w:tcBorders>
          <w:shd w:val="clear" w:color="auto" w:fill="548DD4" w:themeFill="text2" w:themeFillTint="99"/>
          <w:noWrap/>
          <w:vAlign w:val="center"/>
        </w:tcPr>
        <w:p w:rsidR="00546D1A" w:rsidRPr="00DA4FB1" w:rsidRDefault="00546D1A" w:rsidP="00493F0C">
          <w:pPr>
            <w:jc w:val="left"/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Θ.Ε </w:t>
          </w:r>
          <w:r w:rsidR="0085638C" w:rsidRPr="009D7A6F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5</w:t>
          </w:r>
          <w:r w:rsidR="005212BA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: Στέλεχος </w:t>
          </w:r>
          <w:r w:rsidR="00493F0C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Ελέγχου</w:t>
          </w:r>
          <w:r w:rsidR="00D92DAA" w:rsidRPr="00D92DAA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                               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3</w:t>
          </w:r>
          <w:r w:rsidR="0085638C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β</w:t>
          </w:r>
          <w:r w:rsidR="006B77BB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1</w:t>
          </w: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</w:p>
      </w:tc>
    </w:tr>
  </w:tbl>
  <w:p w:rsidR="00546D1A" w:rsidRPr="008E6BB1" w:rsidRDefault="00546D1A">
    <w:pPr>
      <w:pStyle w:val="Head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AA" w:rsidRDefault="00D92D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55F8"/>
    <w:multiLevelType w:val="multilevel"/>
    <w:tmpl w:val="7F00B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07A87934"/>
    <w:multiLevelType w:val="hybridMultilevel"/>
    <w:tmpl w:val="ABA0CC9E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63AC5D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10276ADB"/>
    <w:multiLevelType w:val="hybridMultilevel"/>
    <w:tmpl w:val="5994F3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A6D5B"/>
    <w:multiLevelType w:val="hybridMultilevel"/>
    <w:tmpl w:val="29145B8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2302C6"/>
    <w:multiLevelType w:val="hybridMultilevel"/>
    <w:tmpl w:val="10EA4CDC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4A1DDB"/>
    <w:multiLevelType w:val="multilevel"/>
    <w:tmpl w:val="644C3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D6E0FD9"/>
    <w:multiLevelType w:val="hybridMultilevel"/>
    <w:tmpl w:val="483A507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FD454F"/>
    <w:multiLevelType w:val="hybridMultilevel"/>
    <w:tmpl w:val="64325040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351073F4"/>
    <w:multiLevelType w:val="multilevel"/>
    <w:tmpl w:val="1DCED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F254045"/>
    <w:multiLevelType w:val="hybridMultilevel"/>
    <w:tmpl w:val="E6CCA31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5A20DB4"/>
    <w:multiLevelType w:val="hybridMultilevel"/>
    <w:tmpl w:val="C73263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C54917"/>
    <w:multiLevelType w:val="hybridMultilevel"/>
    <w:tmpl w:val="1C0C5D9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C149A8"/>
    <w:multiLevelType w:val="multilevel"/>
    <w:tmpl w:val="4210E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>
    <w:nsid w:val="671966A6"/>
    <w:multiLevelType w:val="hybridMultilevel"/>
    <w:tmpl w:val="94FE4E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27C4749"/>
    <w:multiLevelType w:val="hybridMultilevel"/>
    <w:tmpl w:val="1366B2C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AB1184B"/>
    <w:multiLevelType w:val="hybridMultilevel"/>
    <w:tmpl w:val="363869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1"/>
  </w:num>
  <w:num w:numId="4">
    <w:abstractNumId w:val="15"/>
  </w:num>
  <w:num w:numId="5">
    <w:abstractNumId w:val="4"/>
  </w:num>
  <w:num w:numId="6">
    <w:abstractNumId w:val="9"/>
  </w:num>
  <w:num w:numId="7">
    <w:abstractNumId w:val="12"/>
  </w:num>
  <w:num w:numId="8">
    <w:abstractNumId w:val="0"/>
  </w:num>
  <w:num w:numId="9">
    <w:abstractNumId w:val="18"/>
  </w:num>
  <w:num w:numId="10">
    <w:abstractNumId w:val="19"/>
  </w:num>
  <w:num w:numId="11">
    <w:abstractNumId w:val="22"/>
  </w:num>
  <w:num w:numId="12">
    <w:abstractNumId w:val="10"/>
  </w:num>
  <w:num w:numId="13">
    <w:abstractNumId w:val="7"/>
  </w:num>
  <w:num w:numId="14">
    <w:abstractNumId w:val="13"/>
  </w:num>
  <w:num w:numId="15">
    <w:abstractNumId w:val="3"/>
  </w:num>
  <w:num w:numId="16">
    <w:abstractNumId w:val="14"/>
  </w:num>
  <w:num w:numId="17">
    <w:abstractNumId w:val="20"/>
  </w:num>
  <w:num w:numId="18">
    <w:abstractNumId w:val="6"/>
  </w:num>
  <w:num w:numId="19">
    <w:abstractNumId w:val="5"/>
  </w:num>
  <w:num w:numId="20">
    <w:abstractNumId w:val="17"/>
  </w:num>
  <w:num w:numId="21">
    <w:abstractNumId w:val="8"/>
  </w:num>
  <w:num w:numId="22">
    <w:abstractNumId w:val="21"/>
  </w:num>
  <w:num w:numId="23">
    <w:abstractNumId w:val="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24A71"/>
    <w:rsid w:val="00034946"/>
    <w:rsid w:val="0003716B"/>
    <w:rsid w:val="0004764F"/>
    <w:rsid w:val="00054EF9"/>
    <w:rsid w:val="0006583C"/>
    <w:rsid w:val="00074B13"/>
    <w:rsid w:val="000751B8"/>
    <w:rsid w:val="000906E5"/>
    <w:rsid w:val="000B3DA8"/>
    <w:rsid w:val="000C4C2B"/>
    <w:rsid w:val="000E0754"/>
    <w:rsid w:val="000F3B9B"/>
    <w:rsid w:val="000F679A"/>
    <w:rsid w:val="00103646"/>
    <w:rsid w:val="00106B1F"/>
    <w:rsid w:val="00121618"/>
    <w:rsid w:val="00127E77"/>
    <w:rsid w:val="00132902"/>
    <w:rsid w:val="0013460F"/>
    <w:rsid w:val="00140DC7"/>
    <w:rsid w:val="00144486"/>
    <w:rsid w:val="00150DB5"/>
    <w:rsid w:val="0015325C"/>
    <w:rsid w:val="00157185"/>
    <w:rsid w:val="00163534"/>
    <w:rsid w:val="0016720D"/>
    <w:rsid w:val="0017027B"/>
    <w:rsid w:val="00176107"/>
    <w:rsid w:val="00187F50"/>
    <w:rsid w:val="001D0719"/>
    <w:rsid w:val="001D46B6"/>
    <w:rsid w:val="00236420"/>
    <w:rsid w:val="002415E6"/>
    <w:rsid w:val="00255FA9"/>
    <w:rsid w:val="00260B60"/>
    <w:rsid w:val="00266CC5"/>
    <w:rsid w:val="00294838"/>
    <w:rsid w:val="002A60F5"/>
    <w:rsid w:val="002C1E2E"/>
    <w:rsid w:val="002C782A"/>
    <w:rsid w:val="002E4185"/>
    <w:rsid w:val="002E4911"/>
    <w:rsid w:val="002F0108"/>
    <w:rsid w:val="00334CE3"/>
    <w:rsid w:val="00345CC1"/>
    <w:rsid w:val="00352D03"/>
    <w:rsid w:val="00354492"/>
    <w:rsid w:val="00357193"/>
    <w:rsid w:val="00371252"/>
    <w:rsid w:val="00371FD5"/>
    <w:rsid w:val="0038379F"/>
    <w:rsid w:val="0038586F"/>
    <w:rsid w:val="00385BA3"/>
    <w:rsid w:val="003B4586"/>
    <w:rsid w:val="003C2F2E"/>
    <w:rsid w:val="003D39EC"/>
    <w:rsid w:val="003D5302"/>
    <w:rsid w:val="003E1B31"/>
    <w:rsid w:val="003E5BF3"/>
    <w:rsid w:val="003E676F"/>
    <w:rsid w:val="003F497F"/>
    <w:rsid w:val="004003D6"/>
    <w:rsid w:val="00407290"/>
    <w:rsid w:val="00411040"/>
    <w:rsid w:val="00412EF0"/>
    <w:rsid w:val="00422633"/>
    <w:rsid w:val="004279F3"/>
    <w:rsid w:val="00444611"/>
    <w:rsid w:val="00451262"/>
    <w:rsid w:val="00467DB2"/>
    <w:rsid w:val="00470F80"/>
    <w:rsid w:val="00471E9A"/>
    <w:rsid w:val="0047606D"/>
    <w:rsid w:val="00481906"/>
    <w:rsid w:val="00490883"/>
    <w:rsid w:val="00490CD4"/>
    <w:rsid w:val="00491195"/>
    <w:rsid w:val="00493F0C"/>
    <w:rsid w:val="00494A11"/>
    <w:rsid w:val="004C59FC"/>
    <w:rsid w:val="004C789F"/>
    <w:rsid w:val="004D467C"/>
    <w:rsid w:val="004F23F0"/>
    <w:rsid w:val="0051556E"/>
    <w:rsid w:val="005207AB"/>
    <w:rsid w:val="005212BA"/>
    <w:rsid w:val="00530763"/>
    <w:rsid w:val="00530ACD"/>
    <w:rsid w:val="00541C17"/>
    <w:rsid w:val="00546D1A"/>
    <w:rsid w:val="00555607"/>
    <w:rsid w:val="00556FB9"/>
    <w:rsid w:val="005600E6"/>
    <w:rsid w:val="005744F6"/>
    <w:rsid w:val="005756CB"/>
    <w:rsid w:val="00575BA2"/>
    <w:rsid w:val="005939B8"/>
    <w:rsid w:val="005A2FC1"/>
    <w:rsid w:val="005C7C11"/>
    <w:rsid w:val="005D17B0"/>
    <w:rsid w:val="005D798C"/>
    <w:rsid w:val="005E0DED"/>
    <w:rsid w:val="005E4E4B"/>
    <w:rsid w:val="005E66C0"/>
    <w:rsid w:val="005F4ACB"/>
    <w:rsid w:val="00603A35"/>
    <w:rsid w:val="0060427E"/>
    <w:rsid w:val="00617F09"/>
    <w:rsid w:val="006325AE"/>
    <w:rsid w:val="00666C39"/>
    <w:rsid w:val="0067569F"/>
    <w:rsid w:val="006A6CB1"/>
    <w:rsid w:val="006B2F26"/>
    <w:rsid w:val="006B77BB"/>
    <w:rsid w:val="006C0F6E"/>
    <w:rsid w:val="006E5525"/>
    <w:rsid w:val="00706B94"/>
    <w:rsid w:val="00720840"/>
    <w:rsid w:val="00732215"/>
    <w:rsid w:val="00740A2A"/>
    <w:rsid w:val="00741B83"/>
    <w:rsid w:val="007628F0"/>
    <w:rsid w:val="00762DFF"/>
    <w:rsid w:val="00763ED3"/>
    <w:rsid w:val="00764AF3"/>
    <w:rsid w:val="00776810"/>
    <w:rsid w:val="00781ADE"/>
    <w:rsid w:val="00793A0E"/>
    <w:rsid w:val="007A0E15"/>
    <w:rsid w:val="007A6ECB"/>
    <w:rsid w:val="007B0B04"/>
    <w:rsid w:val="007C1DB2"/>
    <w:rsid w:val="007C44B9"/>
    <w:rsid w:val="007F5647"/>
    <w:rsid w:val="00816DA7"/>
    <w:rsid w:val="008246D7"/>
    <w:rsid w:val="00825C3D"/>
    <w:rsid w:val="0085638C"/>
    <w:rsid w:val="0086603F"/>
    <w:rsid w:val="008834EB"/>
    <w:rsid w:val="008978B1"/>
    <w:rsid w:val="008A0708"/>
    <w:rsid w:val="008B4D99"/>
    <w:rsid w:val="008B6C1C"/>
    <w:rsid w:val="008D3A69"/>
    <w:rsid w:val="008E4C0B"/>
    <w:rsid w:val="008E6BB1"/>
    <w:rsid w:val="008E741D"/>
    <w:rsid w:val="009079D1"/>
    <w:rsid w:val="009164B4"/>
    <w:rsid w:val="0092743D"/>
    <w:rsid w:val="00933949"/>
    <w:rsid w:val="00943DBF"/>
    <w:rsid w:val="009550B1"/>
    <w:rsid w:val="00964FA4"/>
    <w:rsid w:val="009B238C"/>
    <w:rsid w:val="009C0816"/>
    <w:rsid w:val="009C3173"/>
    <w:rsid w:val="009C3262"/>
    <w:rsid w:val="009D7A6F"/>
    <w:rsid w:val="009E0049"/>
    <w:rsid w:val="009E607A"/>
    <w:rsid w:val="00A13AE2"/>
    <w:rsid w:val="00A16781"/>
    <w:rsid w:val="00A276F5"/>
    <w:rsid w:val="00A35E09"/>
    <w:rsid w:val="00A37E1D"/>
    <w:rsid w:val="00A45A76"/>
    <w:rsid w:val="00A61EC7"/>
    <w:rsid w:val="00A6791B"/>
    <w:rsid w:val="00A853E5"/>
    <w:rsid w:val="00A9493D"/>
    <w:rsid w:val="00AA5E1F"/>
    <w:rsid w:val="00AB2F3D"/>
    <w:rsid w:val="00AB488F"/>
    <w:rsid w:val="00AB73C0"/>
    <w:rsid w:val="00AC0D07"/>
    <w:rsid w:val="00AC7233"/>
    <w:rsid w:val="00AD2824"/>
    <w:rsid w:val="00B37468"/>
    <w:rsid w:val="00B64900"/>
    <w:rsid w:val="00B74599"/>
    <w:rsid w:val="00B9724A"/>
    <w:rsid w:val="00BA1562"/>
    <w:rsid w:val="00BA2F92"/>
    <w:rsid w:val="00BD2E5E"/>
    <w:rsid w:val="00BD5F45"/>
    <w:rsid w:val="00BE650B"/>
    <w:rsid w:val="00C01AAE"/>
    <w:rsid w:val="00C11C90"/>
    <w:rsid w:val="00C21164"/>
    <w:rsid w:val="00C341CB"/>
    <w:rsid w:val="00C4282F"/>
    <w:rsid w:val="00C462D6"/>
    <w:rsid w:val="00C77F68"/>
    <w:rsid w:val="00C844B7"/>
    <w:rsid w:val="00CA3F5A"/>
    <w:rsid w:val="00CA48AE"/>
    <w:rsid w:val="00CC0F22"/>
    <w:rsid w:val="00CD3985"/>
    <w:rsid w:val="00CF20EB"/>
    <w:rsid w:val="00CF2349"/>
    <w:rsid w:val="00CF2A4E"/>
    <w:rsid w:val="00D000E8"/>
    <w:rsid w:val="00D07B28"/>
    <w:rsid w:val="00D11260"/>
    <w:rsid w:val="00D30135"/>
    <w:rsid w:val="00D3121C"/>
    <w:rsid w:val="00D32469"/>
    <w:rsid w:val="00D33775"/>
    <w:rsid w:val="00D4118A"/>
    <w:rsid w:val="00D5686E"/>
    <w:rsid w:val="00D63145"/>
    <w:rsid w:val="00D734EA"/>
    <w:rsid w:val="00D819C0"/>
    <w:rsid w:val="00D833EC"/>
    <w:rsid w:val="00D860AF"/>
    <w:rsid w:val="00D92DAA"/>
    <w:rsid w:val="00D94F9C"/>
    <w:rsid w:val="00D96061"/>
    <w:rsid w:val="00DA3CF7"/>
    <w:rsid w:val="00DA4FB1"/>
    <w:rsid w:val="00DB2FE3"/>
    <w:rsid w:val="00DC2B04"/>
    <w:rsid w:val="00DC5801"/>
    <w:rsid w:val="00DD0FB4"/>
    <w:rsid w:val="00DD2F71"/>
    <w:rsid w:val="00E07C73"/>
    <w:rsid w:val="00E12BBE"/>
    <w:rsid w:val="00E154C9"/>
    <w:rsid w:val="00E24A15"/>
    <w:rsid w:val="00E338D0"/>
    <w:rsid w:val="00E43F71"/>
    <w:rsid w:val="00E47ADD"/>
    <w:rsid w:val="00E67F21"/>
    <w:rsid w:val="00E726E3"/>
    <w:rsid w:val="00E86763"/>
    <w:rsid w:val="00E94195"/>
    <w:rsid w:val="00EA1325"/>
    <w:rsid w:val="00EA4890"/>
    <w:rsid w:val="00EB1E8C"/>
    <w:rsid w:val="00EB4032"/>
    <w:rsid w:val="00EB6B45"/>
    <w:rsid w:val="00ED6890"/>
    <w:rsid w:val="00EE2BA9"/>
    <w:rsid w:val="00EE6BB9"/>
    <w:rsid w:val="00F03242"/>
    <w:rsid w:val="00F11041"/>
    <w:rsid w:val="00F1328D"/>
    <w:rsid w:val="00F23FA9"/>
    <w:rsid w:val="00F27B05"/>
    <w:rsid w:val="00F40948"/>
    <w:rsid w:val="00F610C0"/>
    <w:rsid w:val="00F72DF3"/>
    <w:rsid w:val="00F80D58"/>
    <w:rsid w:val="00F83C07"/>
    <w:rsid w:val="00F840A6"/>
    <w:rsid w:val="00F9164A"/>
    <w:rsid w:val="00F91F46"/>
    <w:rsid w:val="00FC52C0"/>
    <w:rsid w:val="00FF1E88"/>
    <w:rsid w:val="00FF1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763ED3"/>
    <w:rPr>
      <w:rFonts w:ascii="Courier New" w:hAnsi="Courier New"/>
      <w:sz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427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279F3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EB1E8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EB1E8C"/>
    <w:rPr>
      <w:rFonts w:ascii="Times New Roman" w:hAnsi="Times New Roman"/>
      <w:sz w:val="24"/>
    </w:rPr>
  </w:style>
  <w:style w:type="character" w:styleId="PageNumber">
    <w:name w:val="page number"/>
    <w:uiPriority w:val="99"/>
    <w:rsid w:val="005D17B0"/>
    <w:rPr>
      <w:rFonts w:cs="Times New Roman"/>
    </w:rPr>
  </w:style>
  <w:style w:type="character" w:styleId="CommentReference">
    <w:name w:val="annotation reference"/>
    <w:uiPriority w:val="99"/>
    <w:semiHidden/>
    <w:rsid w:val="00816DA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16DA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16DA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6D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16DA7"/>
    <w:rPr>
      <w:rFonts w:ascii="Times New Roman" w:hAnsi="Times New Roman"/>
      <w:b/>
    </w:rPr>
  </w:style>
  <w:style w:type="table" w:styleId="TableGrid">
    <w:name w:val="Table Grid"/>
    <w:basedOn w:val="TableNormal"/>
    <w:locked/>
    <w:rsid w:val="006B77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494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E1B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1B31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3E1B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763ED3"/>
    <w:rPr>
      <w:rFonts w:ascii="Courier New" w:hAnsi="Courier New"/>
      <w:sz w:val="20"/>
      <w:lang w:val="x-none"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427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279F3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Times New Roman" w:hAnsi="Times New Roman"/>
      <w:sz w:val="24"/>
    </w:rPr>
  </w:style>
  <w:style w:type="character" w:styleId="PageNumber">
    <w:name w:val="page number"/>
    <w:uiPriority w:val="99"/>
    <w:rsid w:val="005D17B0"/>
    <w:rPr>
      <w:rFonts w:cs="Times New Roman"/>
    </w:rPr>
  </w:style>
  <w:style w:type="character" w:styleId="CommentReference">
    <w:name w:val="annotation reference"/>
    <w:uiPriority w:val="99"/>
    <w:semiHidden/>
    <w:rsid w:val="00816DA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16DA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16DA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6D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16DA7"/>
    <w:rPr>
      <w:rFonts w:ascii="Times New Roman" w:hAnsi="Times New Roman"/>
      <w:b/>
    </w:rPr>
  </w:style>
  <w:style w:type="table" w:styleId="TableGrid">
    <w:name w:val="Table Grid"/>
    <w:basedOn w:val="TableNormal"/>
    <w:locked/>
    <w:rsid w:val="006B77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494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E1B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1B31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3E1B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82501-27B2-4C3A-AD3B-77DBA1E998E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E7EB1E-D698-4C79-9308-F85DD0EBB4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8C9F4-0984-49F3-84FB-CBBFA71F8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4E0708-742E-4F2E-A751-8EBD3220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666</Words>
  <Characters>4299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Στέλεχος Ελέγχου</vt:lpstr>
    </vt:vector>
  </TitlesOfParts>
  <Company>MOU DP sa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Στέλεχος Ελέγχου</dc:title>
  <dc:creator>ΔΟΥΛΓΕΡΩΦ ΙΒΑΝΑ (Ivana Doulgerof)</dc:creator>
  <cp:lastModifiedBy>dbrillaki</cp:lastModifiedBy>
  <cp:revision>24</cp:revision>
  <cp:lastPrinted>2013-10-14T12:57:00Z</cp:lastPrinted>
  <dcterms:created xsi:type="dcterms:W3CDTF">2015-08-19T08:30:00Z</dcterms:created>
  <dcterms:modified xsi:type="dcterms:W3CDTF">2015-11-06T17:00:00Z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0x010100A42CE8228AFC6B4F829CF3426573F284</vt:lpwstr>
  </property>
  <property fmtid="{D5CDD505-2E9C-101B-9397-08002B2CF9AE}" pid="3" name="Order">
    <vt:r8>17300</vt:r8>
  </property>
  <property fmtid="{D5CDD505-2E9C-101B-9397-08002B2CF9AE}" pid="4" name="ΕΤΟΣ">
    <vt:lpwstr>2013</vt:lpwstr>
  </property>
</Properties>
</file>